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2A" w:rsidRDefault="005C382A" w:rsidP="00DD4A5C">
      <w:pPr>
        <w:spacing w:after="0" w:line="240" w:lineRule="auto"/>
        <w:ind w:firstLine="0"/>
        <w:jc w:val="right"/>
        <w:rPr>
          <w:b/>
        </w:rPr>
      </w:pPr>
      <w:bookmarkStart w:id="0" w:name="_GoBack"/>
      <w:r w:rsidRPr="005C382A">
        <w:rPr>
          <w:b/>
        </w:rPr>
        <w:t>ANÁLISE DA PRESENÇA DE SÍNDROME METABÓLICA EM IDOSOS ATENDIDOS NO PROJETO ATENDIMENTO MULTIDISCIPLINA</w:t>
      </w:r>
      <w:r>
        <w:rPr>
          <w:b/>
        </w:rPr>
        <w:t xml:space="preserve">R AO IDOSO – </w:t>
      </w:r>
      <w:r w:rsidR="007A2657">
        <w:rPr>
          <w:b/>
        </w:rPr>
        <w:t xml:space="preserve">AMI – </w:t>
      </w:r>
      <w:r>
        <w:rPr>
          <w:b/>
        </w:rPr>
        <w:t>EM CAMPO GRANDE/MS</w:t>
      </w:r>
    </w:p>
    <w:p w:rsidR="005C7FFD" w:rsidRPr="00EF4072" w:rsidRDefault="00F2197A" w:rsidP="00DD4A5C">
      <w:pPr>
        <w:spacing w:after="0" w:line="240" w:lineRule="auto"/>
        <w:ind w:firstLine="0"/>
        <w:jc w:val="right"/>
        <w:rPr>
          <w:b/>
          <w:i/>
        </w:rPr>
      </w:pPr>
      <w:r>
        <w:br/>
      </w:r>
      <w:r w:rsidRPr="00EF4072">
        <w:rPr>
          <w:i/>
          <w:color w:val="212121"/>
          <w:shd w:val="clear" w:color="auto" w:fill="FFFFFF"/>
        </w:rPr>
        <w:t xml:space="preserve">ANALYSIS OF THE PRESENCE OF METABOLIC SYNDROME IN OLD PERSONS ATTENDED IN THE PROJECT MULTIDISCIPLINARY ATTENTION TO THE OLDER </w:t>
      </w:r>
      <w:r w:rsidR="007A2657">
        <w:rPr>
          <w:i/>
          <w:color w:val="212121"/>
          <w:shd w:val="clear" w:color="auto" w:fill="FFFFFF"/>
        </w:rPr>
        <w:t xml:space="preserve">– AMI – </w:t>
      </w:r>
      <w:r w:rsidRPr="00EF4072">
        <w:rPr>
          <w:i/>
          <w:color w:val="212121"/>
          <w:shd w:val="clear" w:color="auto" w:fill="FFFFFF"/>
        </w:rPr>
        <w:t>IN CAMPO GRANDE / MS</w:t>
      </w:r>
    </w:p>
    <w:p w:rsidR="005C382A" w:rsidRPr="00EF4072" w:rsidRDefault="005C382A" w:rsidP="00DD4A5C">
      <w:pPr>
        <w:spacing w:after="0" w:line="240" w:lineRule="auto"/>
        <w:ind w:firstLine="0"/>
        <w:jc w:val="right"/>
        <w:rPr>
          <w:i/>
        </w:rPr>
      </w:pPr>
    </w:p>
    <w:p w:rsidR="00F2197A" w:rsidRPr="00EF4072" w:rsidRDefault="00F2197A" w:rsidP="00DD4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eastAsia="Times New Roman"/>
          <w:i/>
          <w:color w:val="212121"/>
          <w:szCs w:val="24"/>
          <w:lang w:eastAsia="pt-BR"/>
        </w:rPr>
      </w:pPr>
      <w:r w:rsidRPr="00EF4072">
        <w:rPr>
          <w:rFonts w:eastAsia="Times New Roman"/>
          <w:i/>
          <w:color w:val="212121"/>
          <w:szCs w:val="24"/>
          <w:lang w:val="es-ES" w:eastAsia="pt-BR"/>
        </w:rPr>
        <w:t>ANÁLISIS DE LA PRESENCIA DE SÍNDROME METABÓLICO EN IDOS</w:t>
      </w:r>
      <w:r w:rsidR="007A2657">
        <w:rPr>
          <w:rFonts w:eastAsia="Times New Roman"/>
          <w:i/>
          <w:color w:val="212121"/>
          <w:szCs w:val="24"/>
          <w:lang w:val="es-ES" w:eastAsia="pt-BR"/>
        </w:rPr>
        <w:t xml:space="preserve">OS ATENDIDOS EN EL PROYECTO </w:t>
      </w:r>
      <w:r w:rsidRPr="00EF4072">
        <w:rPr>
          <w:rFonts w:eastAsia="Times New Roman"/>
          <w:i/>
          <w:color w:val="212121"/>
          <w:szCs w:val="24"/>
          <w:lang w:val="es-ES" w:eastAsia="pt-BR"/>
        </w:rPr>
        <w:t xml:space="preserve">ATENCIÓN MULTIDISCIPLINAR AL IDO </w:t>
      </w:r>
      <w:r w:rsidR="007A2657">
        <w:rPr>
          <w:rFonts w:eastAsia="Times New Roman"/>
          <w:i/>
          <w:color w:val="212121"/>
          <w:szCs w:val="24"/>
          <w:lang w:val="es-ES" w:eastAsia="pt-BR"/>
        </w:rPr>
        <w:t>– AMI –</w:t>
      </w:r>
      <w:r w:rsidRPr="00EF4072">
        <w:rPr>
          <w:rFonts w:eastAsia="Times New Roman"/>
          <w:i/>
          <w:color w:val="212121"/>
          <w:szCs w:val="24"/>
          <w:lang w:val="es-ES" w:eastAsia="pt-BR"/>
        </w:rPr>
        <w:t xml:space="preserve"> EN CAMPO GRANDE / MS</w:t>
      </w:r>
    </w:p>
    <w:p w:rsidR="00B03585" w:rsidRPr="00EF4072" w:rsidRDefault="00B03585" w:rsidP="00DD4A5C">
      <w:pPr>
        <w:spacing w:line="240" w:lineRule="auto"/>
        <w:ind w:firstLine="0"/>
        <w:jc w:val="right"/>
        <w:rPr>
          <w:b/>
          <w:i/>
        </w:rPr>
      </w:pPr>
    </w:p>
    <w:p w:rsidR="005C382A" w:rsidRDefault="005C382A" w:rsidP="005C382A">
      <w:pPr>
        <w:ind w:firstLine="0"/>
        <w:jc w:val="center"/>
      </w:pPr>
    </w:p>
    <w:p w:rsidR="00CE06A2" w:rsidRPr="00CE06A2" w:rsidRDefault="00CE06A2" w:rsidP="005C382A">
      <w:pPr>
        <w:spacing w:after="0"/>
        <w:ind w:firstLine="0"/>
        <w:contextualSpacing/>
        <w:rPr>
          <w:b/>
          <w:szCs w:val="20"/>
        </w:rPr>
      </w:pPr>
      <w:r w:rsidRPr="00CE06A2">
        <w:rPr>
          <w:b/>
          <w:szCs w:val="20"/>
        </w:rPr>
        <w:t>RESUMO</w:t>
      </w:r>
    </w:p>
    <w:p w:rsidR="005C382A" w:rsidRPr="00211D68" w:rsidRDefault="00EF4072" w:rsidP="001F609A">
      <w:pPr>
        <w:spacing w:after="0" w:line="240" w:lineRule="auto"/>
        <w:ind w:firstLine="0"/>
        <w:contextualSpacing/>
        <w:rPr>
          <w:sz w:val="20"/>
          <w:szCs w:val="20"/>
        </w:rPr>
      </w:pPr>
      <w:r>
        <w:rPr>
          <w:sz w:val="20"/>
          <w:szCs w:val="20"/>
        </w:rPr>
        <w:t>A Síndrome M</w:t>
      </w:r>
      <w:r w:rsidR="005C382A" w:rsidRPr="00211D68">
        <w:rPr>
          <w:sz w:val="20"/>
          <w:szCs w:val="20"/>
        </w:rPr>
        <w:t xml:space="preserve">etabólica (SM) é constituída por vários fatores que compõe os critérios diagnósticos, quanto mais fatores associados maiores os riscos do desenvolvimento da SM e de doenças cardiovasculares. Hábito alimentar inadequado associado ao declínio da atividade física dos indivíduos, contribui para o aumento da prevalência de obesidade, que também é considerada como um dos componentes para SM. O objetivo deste trabalho foi analisar a presença de </w:t>
      </w:r>
      <w:r w:rsidR="001F609A">
        <w:rPr>
          <w:sz w:val="20"/>
          <w:szCs w:val="20"/>
        </w:rPr>
        <w:t>S</w:t>
      </w:r>
      <w:r w:rsidR="005C382A" w:rsidRPr="00211D68">
        <w:rPr>
          <w:sz w:val="20"/>
          <w:szCs w:val="20"/>
        </w:rPr>
        <w:t xml:space="preserve">índrome </w:t>
      </w:r>
      <w:r w:rsidR="001F609A">
        <w:rPr>
          <w:sz w:val="20"/>
          <w:szCs w:val="20"/>
        </w:rPr>
        <w:t>M</w:t>
      </w:r>
      <w:r w:rsidR="005C382A" w:rsidRPr="00211D68">
        <w:rPr>
          <w:sz w:val="20"/>
          <w:szCs w:val="20"/>
        </w:rPr>
        <w:t>et</w:t>
      </w:r>
      <w:r w:rsidR="001F609A">
        <w:rPr>
          <w:sz w:val="20"/>
          <w:szCs w:val="20"/>
        </w:rPr>
        <w:t>abólica em idosos atendidos no P</w:t>
      </w:r>
      <w:r w:rsidR="005C382A" w:rsidRPr="00211D68">
        <w:rPr>
          <w:sz w:val="20"/>
          <w:szCs w:val="20"/>
        </w:rPr>
        <w:t xml:space="preserve">rojeto AMI – Atendimento Multidisciplinar ao Idoso de Campo Grande/MS, conforme os critérios diagnósticos NCEP ATP III, IDF e JIS. Trata-se de um estudo quantitativo descritivo transversal retrospectivo através de análise do prontuário. A prevalência de </w:t>
      </w:r>
      <w:r w:rsidR="001F609A">
        <w:rPr>
          <w:sz w:val="20"/>
          <w:szCs w:val="20"/>
        </w:rPr>
        <w:t>S</w:t>
      </w:r>
      <w:r w:rsidR="005C382A" w:rsidRPr="00211D68">
        <w:rPr>
          <w:sz w:val="20"/>
          <w:szCs w:val="20"/>
        </w:rPr>
        <w:t>índrom</w:t>
      </w:r>
      <w:r w:rsidR="001F609A">
        <w:rPr>
          <w:sz w:val="20"/>
          <w:szCs w:val="20"/>
        </w:rPr>
        <w:t>e M</w:t>
      </w:r>
      <w:r w:rsidR="005C382A" w:rsidRPr="00211D68">
        <w:rPr>
          <w:sz w:val="20"/>
          <w:szCs w:val="20"/>
        </w:rPr>
        <w:t xml:space="preserve">etabólica nos idosos participantes da pesquisa foi </w:t>
      </w:r>
      <w:r w:rsidR="005C382A" w:rsidRPr="00211D68">
        <w:rPr>
          <w:bCs/>
          <w:sz w:val="20"/>
          <w:szCs w:val="20"/>
        </w:rPr>
        <w:t xml:space="preserve">de 47,22% para os </w:t>
      </w:r>
      <w:r w:rsidR="005C382A" w:rsidRPr="00211D68">
        <w:rPr>
          <w:rFonts w:eastAsia="Times New Roman"/>
          <w:bCs/>
          <w:color w:val="000000"/>
          <w:sz w:val="20"/>
          <w:szCs w:val="20"/>
          <w:lang w:eastAsia="pt-BR"/>
        </w:rPr>
        <w:t xml:space="preserve">critérios NCEP-ATP III e IDF, e </w:t>
      </w:r>
      <w:r w:rsidR="005C382A" w:rsidRPr="00211D68">
        <w:rPr>
          <w:bCs/>
          <w:sz w:val="20"/>
          <w:szCs w:val="20"/>
        </w:rPr>
        <w:t>50% para o critério</w:t>
      </w:r>
      <w:r w:rsidR="005C382A" w:rsidRPr="00211D68">
        <w:rPr>
          <w:rFonts w:eastAsia="Times New Roman"/>
          <w:bCs/>
          <w:color w:val="000000"/>
          <w:sz w:val="20"/>
          <w:szCs w:val="20"/>
          <w:lang w:eastAsia="pt-BR"/>
        </w:rPr>
        <w:t xml:space="preserve"> JIS, mostrando-se mais sensível ao critério JIS</w:t>
      </w:r>
      <w:r w:rsidR="005C382A" w:rsidRPr="00211D68">
        <w:rPr>
          <w:sz w:val="20"/>
          <w:szCs w:val="20"/>
        </w:rPr>
        <w:t>.</w:t>
      </w:r>
    </w:p>
    <w:p w:rsidR="005C382A" w:rsidRPr="00211D68" w:rsidRDefault="005C382A" w:rsidP="001F609A">
      <w:pPr>
        <w:spacing w:after="0" w:line="240" w:lineRule="auto"/>
        <w:ind w:firstLine="0"/>
        <w:rPr>
          <w:sz w:val="20"/>
          <w:szCs w:val="20"/>
        </w:rPr>
      </w:pPr>
      <w:r w:rsidRPr="00211D68">
        <w:rPr>
          <w:b/>
          <w:sz w:val="20"/>
          <w:szCs w:val="20"/>
        </w:rPr>
        <w:t>Palavras-chave:</w:t>
      </w:r>
      <w:r w:rsidRPr="00211D68">
        <w:rPr>
          <w:sz w:val="20"/>
          <w:szCs w:val="20"/>
        </w:rPr>
        <w:t xml:space="preserve"> </w:t>
      </w:r>
      <w:r w:rsidR="001F609A">
        <w:rPr>
          <w:sz w:val="20"/>
          <w:szCs w:val="20"/>
        </w:rPr>
        <w:t>Síndrome M</w:t>
      </w:r>
      <w:r w:rsidR="00211D68" w:rsidRPr="00211D68">
        <w:rPr>
          <w:sz w:val="20"/>
          <w:szCs w:val="20"/>
        </w:rPr>
        <w:t xml:space="preserve">etabólica; </w:t>
      </w:r>
      <w:r w:rsidR="001F609A">
        <w:rPr>
          <w:sz w:val="20"/>
          <w:szCs w:val="20"/>
        </w:rPr>
        <w:t>Doenças C</w:t>
      </w:r>
      <w:r w:rsidR="006D2D5A" w:rsidRPr="00211D68">
        <w:rPr>
          <w:sz w:val="20"/>
          <w:szCs w:val="20"/>
        </w:rPr>
        <w:t>ardiovasculares</w:t>
      </w:r>
      <w:r w:rsidRPr="00211D68">
        <w:rPr>
          <w:sz w:val="20"/>
          <w:szCs w:val="20"/>
        </w:rPr>
        <w:t xml:space="preserve">; </w:t>
      </w:r>
      <w:r w:rsidR="00211D68" w:rsidRPr="00211D68">
        <w:rPr>
          <w:sz w:val="20"/>
          <w:szCs w:val="20"/>
        </w:rPr>
        <w:t>Saúde do idoso</w:t>
      </w:r>
      <w:r w:rsidRPr="00211D68">
        <w:rPr>
          <w:sz w:val="20"/>
          <w:szCs w:val="20"/>
        </w:rPr>
        <w:t>.</w:t>
      </w:r>
    </w:p>
    <w:p w:rsidR="005C382A" w:rsidRDefault="005C382A" w:rsidP="00211D68">
      <w:pPr>
        <w:spacing w:after="0"/>
        <w:ind w:firstLine="0"/>
        <w:rPr>
          <w:b/>
        </w:rPr>
      </w:pPr>
    </w:p>
    <w:p w:rsidR="005C382A" w:rsidRPr="00211D68" w:rsidRDefault="00CE06A2" w:rsidP="00211D68">
      <w:pPr>
        <w:spacing w:after="0"/>
        <w:ind w:firstLine="0"/>
        <w:rPr>
          <w:b/>
          <w:szCs w:val="20"/>
        </w:rPr>
      </w:pPr>
      <w:r w:rsidRPr="00211D68">
        <w:rPr>
          <w:b/>
          <w:szCs w:val="20"/>
        </w:rPr>
        <w:t>ABSTRACT</w:t>
      </w:r>
    </w:p>
    <w:p w:rsidR="00F2197A" w:rsidRPr="00211D68" w:rsidRDefault="00F2197A" w:rsidP="001F609A">
      <w:pPr>
        <w:pStyle w:val="Pr-formataoHTML"/>
        <w:shd w:val="clear" w:color="auto" w:fill="FFFFFF"/>
        <w:jc w:val="both"/>
        <w:rPr>
          <w:rFonts w:ascii="Times New Roman" w:hAnsi="Times New Roman" w:cs="Times New Roman"/>
          <w:color w:val="212121"/>
        </w:rPr>
      </w:pPr>
      <w:r w:rsidRPr="00211D68">
        <w:rPr>
          <w:rFonts w:ascii="Times New Roman" w:hAnsi="Times New Roman" w:cs="Times New Roman"/>
          <w:color w:val="212121"/>
          <w:lang w:val="en"/>
        </w:rPr>
        <w:t xml:space="preserve">The </w:t>
      </w:r>
      <w:r w:rsidR="001F609A">
        <w:rPr>
          <w:rFonts w:ascii="Times New Roman" w:hAnsi="Times New Roman" w:cs="Times New Roman"/>
          <w:color w:val="212121"/>
          <w:lang w:val="en"/>
        </w:rPr>
        <w:t>Metabolic S</w:t>
      </w:r>
      <w:r w:rsidRPr="00211D68">
        <w:rPr>
          <w:rFonts w:ascii="Times New Roman" w:hAnsi="Times New Roman" w:cs="Times New Roman"/>
          <w:color w:val="212121"/>
          <w:lang w:val="en"/>
        </w:rPr>
        <w:t xml:space="preserve">yndrome (MS) consists of several factors that make up the diagnostic criteria, the more associated factors the greater the risks of developing </w:t>
      </w:r>
      <w:r w:rsidR="001F609A">
        <w:rPr>
          <w:rFonts w:ascii="Times New Roman" w:hAnsi="Times New Roman" w:cs="Times New Roman"/>
          <w:color w:val="212121"/>
          <w:lang w:val="en"/>
        </w:rPr>
        <w:t>MS and c</w:t>
      </w:r>
      <w:r w:rsidRPr="00211D68">
        <w:rPr>
          <w:rFonts w:ascii="Times New Roman" w:hAnsi="Times New Roman" w:cs="Times New Roman"/>
          <w:color w:val="212121"/>
          <w:lang w:val="en"/>
        </w:rPr>
        <w:t xml:space="preserve">ardiovascular diseases. Inadequate eating habits associated with the decline in physical activity of individuals contribute to the increased prevalence of obesity, which is also considered as one of the components for MS. The objective of this study </w:t>
      </w:r>
      <w:r w:rsidR="001F609A">
        <w:rPr>
          <w:rFonts w:ascii="Times New Roman" w:hAnsi="Times New Roman" w:cs="Times New Roman"/>
          <w:color w:val="212121"/>
          <w:lang w:val="en"/>
        </w:rPr>
        <w:t>was to analyze the presence of Metabolic S</w:t>
      </w:r>
      <w:r w:rsidRPr="00211D68">
        <w:rPr>
          <w:rFonts w:ascii="Times New Roman" w:hAnsi="Times New Roman" w:cs="Times New Roman"/>
          <w:color w:val="212121"/>
          <w:lang w:val="en"/>
        </w:rPr>
        <w:t>yndrome in</w:t>
      </w:r>
      <w:r w:rsidR="001F609A">
        <w:rPr>
          <w:rFonts w:ascii="Times New Roman" w:hAnsi="Times New Roman" w:cs="Times New Roman"/>
          <w:color w:val="212121"/>
          <w:lang w:val="en"/>
        </w:rPr>
        <w:t xml:space="preserve"> the elderly served in the AMI</w:t>
      </w:r>
      <w:r w:rsidRPr="00211D68">
        <w:rPr>
          <w:rFonts w:ascii="Times New Roman" w:hAnsi="Times New Roman" w:cs="Times New Roman"/>
          <w:color w:val="212121"/>
          <w:lang w:val="en"/>
        </w:rPr>
        <w:t xml:space="preserve"> Multidisciplinary Care for the Aged in Campo Grande / MS, according to the NCEP ATP III, IDF and JIS diagnostic criteria. This is a cross-sectional descriptive cross-sectional study using chart analysis. The prevalence of </w:t>
      </w:r>
      <w:r w:rsidR="001F609A">
        <w:rPr>
          <w:rFonts w:ascii="Times New Roman" w:hAnsi="Times New Roman" w:cs="Times New Roman"/>
          <w:color w:val="212121"/>
          <w:lang w:val="en"/>
        </w:rPr>
        <w:t>M</w:t>
      </w:r>
      <w:r w:rsidRPr="00211D68">
        <w:rPr>
          <w:rFonts w:ascii="Times New Roman" w:hAnsi="Times New Roman" w:cs="Times New Roman"/>
          <w:color w:val="212121"/>
          <w:lang w:val="en"/>
        </w:rPr>
        <w:t xml:space="preserve">etabolic </w:t>
      </w:r>
      <w:r w:rsidR="001F609A">
        <w:rPr>
          <w:rFonts w:ascii="Times New Roman" w:hAnsi="Times New Roman" w:cs="Times New Roman"/>
          <w:color w:val="212121"/>
          <w:lang w:val="en"/>
        </w:rPr>
        <w:t>S</w:t>
      </w:r>
      <w:r w:rsidRPr="00211D68">
        <w:rPr>
          <w:rFonts w:ascii="Times New Roman" w:hAnsi="Times New Roman" w:cs="Times New Roman"/>
          <w:color w:val="212121"/>
          <w:lang w:val="en"/>
        </w:rPr>
        <w:t>yndrome in the elderly participants of the study was 47.22% for the NCEP-ATP III and IDF criteria, and 50% for the JIS criterion, being more sensitive to the JIS criterion.</w:t>
      </w:r>
    </w:p>
    <w:p w:rsidR="00CE06A2" w:rsidRPr="00211D68" w:rsidRDefault="005C382A" w:rsidP="001F609A">
      <w:pPr>
        <w:spacing w:after="0" w:line="240" w:lineRule="auto"/>
        <w:ind w:firstLine="0"/>
        <w:rPr>
          <w:sz w:val="20"/>
          <w:szCs w:val="20"/>
        </w:rPr>
      </w:pPr>
      <w:r w:rsidRPr="00211D68">
        <w:rPr>
          <w:b/>
          <w:sz w:val="20"/>
          <w:szCs w:val="20"/>
        </w:rPr>
        <w:t>Key words:</w:t>
      </w:r>
      <w:r w:rsidR="00211D68" w:rsidRPr="00211D68">
        <w:rPr>
          <w:b/>
          <w:sz w:val="20"/>
          <w:szCs w:val="20"/>
        </w:rPr>
        <w:t xml:space="preserve"> </w:t>
      </w:r>
      <w:r w:rsidR="00211D68" w:rsidRPr="00211D68">
        <w:rPr>
          <w:sz w:val="20"/>
          <w:szCs w:val="20"/>
        </w:rPr>
        <w:t>Metabolic Syndrome; Cardiovascular Diseases; Health of the Elderly.</w:t>
      </w:r>
    </w:p>
    <w:p w:rsidR="00211D68" w:rsidRPr="00211D68" w:rsidRDefault="00211D68" w:rsidP="00211D68">
      <w:pPr>
        <w:spacing w:after="0"/>
        <w:ind w:firstLine="0"/>
      </w:pPr>
    </w:p>
    <w:p w:rsidR="005C382A" w:rsidRPr="00211D68" w:rsidRDefault="00CE06A2" w:rsidP="005C382A">
      <w:pPr>
        <w:ind w:firstLine="0"/>
        <w:rPr>
          <w:b/>
          <w:szCs w:val="20"/>
        </w:rPr>
      </w:pPr>
      <w:r w:rsidRPr="00211D68">
        <w:rPr>
          <w:b/>
          <w:szCs w:val="20"/>
        </w:rPr>
        <w:t>RESUMEN</w:t>
      </w:r>
    </w:p>
    <w:p w:rsidR="00F2197A" w:rsidRPr="00211D68" w:rsidRDefault="001F609A" w:rsidP="001F609A">
      <w:pPr>
        <w:pStyle w:val="Pr-formataoHTML"/>
        <w:shd w:val="clear" w:color="auto" w:fill="FFFFFF"/>
        <w:jc w:val="both"/>
        <w:rPr>
          <w:rFonts w:ascii="Times New Roman" w:hAnsi="Times New Roman" w:cs="Times New Roman"/>
          <w:color w:val="212121"/>
        </w:rPr>
      </w:pPr>
      <w:r>
        <w:rPr>
          <w:rFonts w:ascii="Times New Roman" w:hAnsi="Times New Roman" w:cs="Times New Roman"/>
          <w:color w:val="212121"/>
          <w:lang w:val="es-ES"/>
        </w:rPr>
        <w:t>El Síndrome M</w:t>
      </w:r>
      <w:r w:rsidR="00F2197A" w:rsidRPr="00211D68">
        <w:rPr>
          <w:rFonts w:ascii="Times New Roman" w:hAnsi="Times New Roman" w:cs="Times New Roman"/>
          <w:color w:val="212121"/>
          <w:lang w:val="es-ES"/>
        </w:rPr>
        <w:t xml:space="preserve">etabólico (SM) está constituido por varios factores que componen los criterios diagnósticos, </w:t>
      </w:r>
      <w:proofErr w:type="gramStart"/>
      <w:r w:rsidR="00F2197A" w:rsidRPr="00211D68">
        <w:rPr>
          <w:rFonts w:ascii="Times New Roman" w:hAnsi="Times New Roman" w:cs="Times New Roman"/>
          <w:color w:val="212121"/>
          <w:lang w:val="es-ES"/>
        </w:rPr>
        <w:t>cuanto más factores asociados mayores</w:t>
      </w:r>
      <w:proofErr w:type="gramEnd"/>
      <w:r w:rsidR="00F2197A" w:rsidRPr="00211D68">
        <w:rPr>
          <w:rFonts w:ascii="Times New Roman" w:hAnsi="Times New Roman" w:cs="Times New Roman"/>
          <w:color w:val="212121"/>
          <w:lang w:val="es-ES"/>
        </w:rPr>
        <w:t xml:space="preserve"> son los riesgos del desarrollo de la SM y de enfermedades cardiovasculares. El hábito alimentario inadecuado asociado al declive de la actividad física de los individuos, contribuye al aumento de la prevalencia de obesidad, que también se considera como uno de los componentes para SM. El objetivo de este trabaj</w:t>
      </w:r>
      <w:r>
        <w:rPr>
          <w:rFonts w:ascii="Times New Roman" w:hAnsi="Times New Roman" w:cs="Times New Roman"/>
          <w:color w:val="212121"/>
          <w:lang w:val="es-ES"/>
        </w:rPr>
        <w:t>o fue analizar la presencia de Síndrome M</w:t>
      </w:r>
      <w:r w:rsidR="00F2197A" w:rsidRPr="00211D68">
        <w:rPr>
          <w:rFonts w:ascii="Times New Roman" w:hAnsi="Times New Roman" w:cs="Times New Roman"/>
          <w:color w:val="212121"/>
          <w:lang w:val="es-ES"/>
        </w:rPr>
        <w:t xml:space="preserve">etabólico en ancianos atendidos en </w:t>
      </w:r>
      <w:r>
        <w:rPr>
          <w:rFonts w:ascii="Times New Roman" w:hAnsi="Times New Roman" w:cs="Times New Roman"/>
          <w:color w:val="212121"/>
          <w:lang w:val="es-ES"/>
        </w:rPr>
        <w:t>el P</w:t>
      </w:r>
      <w:r w:rsidR="00F2197A" w:rsidRPr="00211D68">
        <w:rPr>
          <w:rFonts w:ascii="Times New Roman" w:hAnsi="Times New Roman" w:cs="Times New Roman"/>
          <w:color w:val="212121"/>
          <w:lang w:val="es-ES"/>
        </w:rPr>
        <w:t>royecto AMI - Atención Multidisciplinaria al Anciano de Campo Grande / MS, conforme a los criterios diagnósticos NCEP ATP III, IDF y JIS. Se trata de un estudio cuantitativo descript</w:t>
      </w:r>
      <w:r>
        <w:rPr>
          <w:rFonts w:ascii="Times New Roman" w:hAnsi="Times New Roman" w:cs="Times New Roman"/>
          <w:color w:val="212121"/>
          <w:lang w:val="es-ES"/>
        </w:rPr>
        <w:t>ivo transversal retrospectivo a</w:t>
      </w:r>
      <w:r w:rsidR="00F2197A" w:rsidRPr="00211D68">
        <w:rPr>
          <w:rFonts w:ascii="Times New Roman" w:hAnsi="Times New Roman" w:cs="Times New Roman"/>
          <w:color w:val="212121"/>
          <w:lang w:val="es-ES"/>
        </w:rPr>
        <w:t>travé</w:t>
      </w:r>
      <w:r>
        <w:rPr>
          <w:rFonts w:ascii="Times New Roman" w:hAnsi="Times New Roman" w:cs="Times New Roman"/>
          <w:color w:val="212121"/>
          <w:lang w:val="es-ES"/>
        </w:rPr>
        <w:t>s del análisis del prontuario. L</w:t>
      </w:r>
      <w:r w:rsidR="00F2197A" w:rsidRPr="00211D68">
        <w:rPr>
          <w:rFonts w:ascii="Times New Roman" w:hAnsi="Times New Roman" w:cs="Times New Roman"/>
          <w:color w:val="212121"/>
          <w:lang w:val="es-ES"/>
        </w:rPr>
        <w:t>a</w:t>
      </w:r>
      <w:r>
        <w:rPr>
          <w:rFonts w:ascii="Times New Roman" w:hAnsi="Times New Roman" w:cs="Times New Roman"/>
          <w:color w:val="212121"/>
          <w:lang w:val="es-ES"/>
        </w:rPr>
        <w:t xml:space="preserve"> prevalencia de Síndrome M</w:t>
      </w:r>
      <w:r w:rsidR="00F2197A" w:rsidRPr="00211D68">
        <w:rPr>
          <w:rFonts w:ascii="Times New Roman" w:hAnsi="Times New Roman" w:cs="Times New Roman"/>
          <w:color w:val="212121"/>
          <w:lang w:val="es-ES"/>
        </w:rPr>
        <w:t>etabólico en los ancianos participantes en la investigación fue del 47,22% para los criterios NCEP-ATP III e IDF, y 50% para el criterio JIS, mostrándose más sensible al criterio JIS.</w:t>
      </w:r>
    </w:p>
    <w:p w:rsidR="00211D68" w:rsidRPr="00211D68" w:rsidRDefault="005C382A" w:rsidP="001F609A">
      <w:pPr>
        <w:spacing w:after="0" w:line="240" w:lineRule="auto"/>
        <w:ind w:firstLine="0"/>
        <w:rPr>
          <w:sz w:val="20"/>
          <w:szCs w:val="20"/>
        </w:rPr>
      </w:pPr>
      <w:r w:rsidRPr="00211D68">
        <w:rPr>
          <w:b/>
          <w:sz w:val="20"/>
          <w:szCs w:val="20"/>
        </w:rPr>
        <w:t>Palabras clave:</w:t>
      </w:r>
      <w:r w:rsidR="00211D68" w:rsidRPr="00211D68">
        <w:rPr>
          <w:b/>
          <w:sz w:val="20"/>
          <w:szCs w:val="20"/>
        </w:rPr>
        <w:t xml:space="preserve"> </w:t>
      </w:r>
      <w:r w:rsidR="00211D68" w:rsidRPr="00211D68">
        <w:rPr>
          <w:sz w:val="20"/>
          <w:szCs w:val="20"/>
        </w:rPr>
        <w:t>Síndrome Metabólico; Enfermedades Cardiovasculares; Salud del Anciano.</w:t>
      </w:r>
    </w:p>
    <w:p w:rsidR="00211D68" w:rsidRDefault="00211D68" w:rsidP="00211D68">
      <w:pPr>
        <w:spacing w:after="0"/>
        <w:ind w:firstLine="0"/>
        <w:rPr>
          <w:szCs w:val="24"/>
        </w:rPr>
      </w:pPr>
    </w:p>
    <w:p w:rsidR="001F609A" w:rsidRPr="00211D68" w:rsidRDefault="001F609A" w:rsidP="00211D68">
      <w:pPr>
        <w:spacing w:after="0"/>
        <w:ind w:firstLine="0"/>
        <w:rPr>
          <w:szCs w:val="24"/>
        </w:rPr>
      </w:pPr>
    </w:p>
    <w:p w:rsidR="005C382A" w:rsidRPr="00344A32" w:rsidRDefault="005C382A" w:rsidP="00344A32">
      <w:pPr>
        <w:pStyle w:val="PargrafodaLista"/>
        <w:numPr>
          <w:ilvl w:val="0"/>
          <w:numId w:val="8"/>
        </w:numPr>
        <w:spacing w:after="0"/>
        <w:rPr>
          <w:b/>
        </w:rPr>
      </w:pPr>
      <w:r w:rsidRPr="00344A32">
        <w:rPr>
          <w:b/>
        </w:rPr>
        <w:lastRenderedPageBreak/>
        <w:t>INTRODUÇÃO</w:t>
      </w:r>
    </w:p>
    <w:p w:rsidR="00BD2E9E" w:rsidRPr="00211D68" w:rsidRDefault="00BD2E9E" w:rsidP="00895AE0">
      <w:pPr>
        <w:spacing w:after="0"/>
        <w:ind w:firstLine="0"/>
      </w:pPr>
    </w:p>
    <w:p w:rsidR="00C51327" w:rsidRPr="00C51327" w:rsidRDefault="00C51327" w:rsidP="00A95EDC">
      <w:pPr>
        <w:spacing w:after="0"/>
        <w:contextualSpacing/>
        <w:rPr>
          <w:szCs w:val="24"/>
        </w:rPr>
      </w:pPr>
      <w:r w:rsidRPr="00C51327">
        <w:rPr>
          <w:szCs w:val="24"/>
        </w:rPr>
        <w:t>O envelhecimen</w:t>
      </w:r>
      <w:r w:rsidR="00DE43D6">
        <w:rPr>
          <w:szCs w:val="24"/>
        </w:rPr>
        <w:t>to pode ser caracterizado como um</w:t>
      </w:r>
      <w:r w:rsidRPr="00C51327">
        <w:rPr>
          <w:szCs w:val="24"/>
        </w:rPr>
        <w:t xml:space="preserve"> processo natural que se desenvolve ao longo da vida, mudando de forma progressiva as funções fisiológic</w:t>
      </w:r>
      <w:r w:rsidR="00A95EDC">
        <w:rPr>
          <w:szCs w:val="24"/>
        </w:rPr>
        <w:t>as e psicossociais do indivíduo</w:t>
      </w:r>
      <w:r w:rsidRPr="00C51327">
        <w:rPr>
          <w:szCs w:val="24"/>
        </w:rPr>
        <w:t>.</w:t>
      </w:r>
    </w:p>
    <w:p w:rsidR="00C51327" w:rsidRPr="00C51327" w:rsidRDefault="00C51327" w:rsidP="00A95EDC">
      <w:pPr>
        <w:spacing w:after="0"/>
        <w:contextualSpacing/>
        <w:rPr>
          <w:szCs w:val="24"/>
        </w:rPr>
      </w:pPr>
      <w:r w:rsidRPr="00C51327">
        <w:rPr>
          <w:szCs w:val="24"/>
        </w:rPr>
        <w:t>Segundo a Organização Mundial de Saúde (OMS), a velhice inicia-se aos 60 anos em países em desenvolvimento e aos 65 anos em países desenvolvidos. Outro critério levado em consideração é a situa</w:t>
      </w:r>
      <w:r w:rsidR="00A95EDC">
        <w:rPr>
          <w:szCs w:val="24"/>
        </w:rPr>
        <w:t>ção socioeconômica de cada pais</w:t>
      </w:r>
      <w:r w:rsidRPr="00C51327">
        <w:rPr>
          <w:szCs w:val="24"/>
        </w:rPr>
        <w:t>.</w:t>
      </w:r>
    </w:p>
    <w:p w:rsidR="004C0BCE" w:rsidRDefault="00C51327" w:rsidP="004C0BCE">
      <w:pPr>
        <w:spacing w:after="0"/>
        <w:contextualSpacing/>
        <w:rPr>
          <w:szCs w:val="24"/>
        </w:rPr>
      </w:pPr>
      <w:r w:rsidRPr="00C51327">
        <w:rPr>
          <w:szCs w:val="24"/>
        </w:rPr>
        <w:t>A taxa de envelhecimento está em constante crescimento devido à redução na taxa de fecundidade. Assim, ela tende a continuar aumentando cada vez mais, principalment</w:t>
      </w:r>
      <w:r w:rsidR="00A95EDC">
        <w:rPr>
          <w:szCs w:val="24"/>
        </w:rPr>
        <w:t>e, em países em desenvolvimento</w:t>
      </w:r>
      <w:r w:rsidRPr="00C51327">
        <w:rPr>
          <w:szCs w:val="24"/>
        </w:rPr>
        <w:t xml:space="preserve">. Esse processo </w:t>
      </w:r>
      <w:r w:rsidR="00A95EDC" w:rsidRPr="00C51327">
        <w:rPr>
          <w:szCs w:val="24"/>
        </w:rPr>
        <w:t>traz</w:t>
      </w:r>
      <w:r w:rsidRPr="00C51327">
        <w:rPr>
          <w:szCs w:val="24"/>
        </w:rPr>
        <w:t xml:space="preserve"> consigo doenças próprias da idade, que surgem devido alterações fisiológicas, mudanças na composição corporal e nos hábitos alimentares, afetando também a quali</w:t>
      </w:r>
      <w:r w:rsidR="00A95EDC">
        <w:rPr>
          <w:szCs w:val="24"/>
        </w:rPr>
        <w:t>dade de vida desses indivíduos</w:t>
      </w:r>
      <w:r w:rsidRPr="00C51327">
        <w:rPr>
          <w:szCs w:val="24"/>
        </w:rPr>
        <w:t>.</w:t>
      </w:r>
    </w:p>
    <w:p w:rsidR="00BD2E9E" w:rsidRDefault="00A95EDC" w:rsidP="00A95EDC">
      <w:pPr>
        <w:spacing w:after="0"/>
        <w:contextualSpacing/>
        <w:rPr>
          <w:rFonts w:eastAsiaTheme="minorHAnsi"/>
        </w:rPr>
      </w:pPr>
      <w:r w:rsidRPr="00A95EDC">
        <w:rPr>
          <w:szCs w:val="24"/>
        </w:rPr>
        <w:t xml:space="preserve">Logo, o aumento da expectativa de vida não é sinônimo, hoje, de envelhecer com saúde, pois à medida que a idade chega aumentam os números de doenças crônicas </w:t>
      </w:r>
      <w:r>
        <w:rPr>
          <w:szCs w:val="24"/>
        </w:rPr>
        <w:t>não transmissíveis</w:t>
      </w:r>
      <w:r w:rsidRPr="00A95EDC">
        <w:rPr>
          <w:szCs w:val="24"/>
        </w:rPr>
        <w:t xml:space="preserve"> as quais </w:t>
      </w:r>
      <w:r>
        <w:rPr>
          <w:szCs w:val="24"/>
        </w:rPr>
        <w:t>essa população torna</w:t>
      </w:r>
      <w:r w:rsidR="00DE43D6">
        <w:rPr>
          <w:szCs w:val="24"/>
        </w:rPr>
        <w:t>-se mais susceptível</w:t>
      </w:r>
      <w:r w:rsidR="005E6ED3">
        <w:rPr>
          <w:rFonts w:eastAsiaTheme="minorHAnsi"/>
        </w:rPr>
        <w:t>, com destaque para as d</w:t>
      </w:r>
      <w:r w:rsidR="00BD2E9E" w:rsidRPr="00A63576">
        <w:rPr>
          <w:rFonts w:eastAsiaTheme="minorHAnsi"/>
        </w:rPr>
        <w:t xml:space="preserve">oenças </w:t>
      </w:r>
      <w:r w:rsidR="005E6ED3">
        <w:rPr>
          <w:rFonts w:eastAsiaTheme="minorHAnsi"/>
        </w:rPr>
        <w:t>c</w:t>
      </w:r>
      <w:r w:rsidR="00BD2E9E" w:rsidRPr="00A63576">
        <w:rPr>
          <w:rFonts w:eastAsiaTheme="minorHAnsi"/>
        </w:rPr>
        <w:t>ardiovasculares (DCV), que estão entre as principais causas de morbimortalidade desta população.</w:t>
      </w:r>
    </w:p>
    <w:p w:rsidR="008A0990" w:rsidRDefault="008A0990" w:rsidP="008A0990">
      <w:pPr>
        <w:spacing w:after="0"/>
        <w:contextualSpacing/>
        <w:rPr>
          <w:szCs w:val="24"/>
        </w:rPr>
      </w:pPr>
      <w:r>
        <w:rPr>
          <w:szCs w:val="24"/>
        </w:rPr>
        <w:t>Frente a esse processo, a população idosa necessita de serviços e programas de saúde capazes de atenderem suas demandas. Assim, surge o projeto AMI (Atendimento Multidisciplinar do Idoso), que é caracterizado como sendo um projeto social e de pesquisa desenvolvido por uma equipe de profissionais como nutricionistas, médicos, enfermeiros, psicólogos</w:t>
      </w:r>
      <w:r w:rsidR="00D43D85">
        <w:rPr>
          <w:szCs w:val="24"/>
        </w:rPr>
        <w:t xml:space="preserve"> e fisioterapeutas.</w:t>
      </w:r>
    </w:p>
    <w:p w:rsidR="008A0990" w:rsidRDefault="008A0990" w:rsidP="008A0990">
      <w:pPr>
        <w:spacing w:after="0"/>
        <w:contextualSpacing/>
        <w:rPr>
          <w:szCs w:val="24"/>
        </w:rPr>
      </w:pPr>
      <w:r>
        <w:rPr>
          <w:szCs w:val="24"/>
        </w:rPr>
        <w:t>O projeto busca estabelecer medidas de caráter preventivo, terapêutico e reabilitador, visando a prevenção de doenças e promoção de saúde, através de palestras, oficinas e atividades educativas e culturais promovendo a socialização entre os idosos.</w:t>
      </w:r>
    </w:p>
    <w:p w:rsidR="008F3F26" w:rsidRDefault="00BD2E9E" w:rsidP="008F3F26">
      <w:pPr>
        <w:autoSpaceDE w:val="0"/>
        <w:autoSpaceDN w:val="0"/>
        <w:adjustRightInd w:val="0"/>
        <w:spacing w:after="0"/>
        <w:ind w:firstLine="708"/>
        <w:rPr>
          <w:szCs w:val="24"/>
          <w:lang w:eastAsia="pt-BR"/>
        </w:rPr>
      </w:pPr>
      <w:r w:rsidRPr="00A63576">
        <w:rPr>
          <w:szCs w:val="24"/>
          <w:lang w:eastAsia="pt-BR"/>
        </w:rPr>
        <w:t xml:space="preserve">A Síndrome Metabólica (SM) </w:t>
      </w:r>
      <w:r w:rsidR="008F3F26">
        <w:rPr>
          <w:szCs w:val="24"/>
          <w:lang w:eastAsia="pt-BR"/>
        </w:rPr>
        <w:t xml:space="preserve">está entre uma das doenças que </w:t>
      </w:r>
      <w:r w:rsidR="00067A3F">
        <w:rPr>
          <w:szCs w:val="24"/>
          <w:lang w:eastAsia="pt-BR"/>
        </w:rPr>
        <w:t xml:space="preserve">mais </w:t>
      </w:r>
      <w:r w:rsidR="008F3F26">
        <w:rPr>
          <w:szCs w:val="24"/>
          <w:lang w:eastAsia="pt-BR"/>
        </w:rPr>
        <w:t>acometem os idosos e pode ser considerada</w:t>
      </w:r>
      <w:r w:rsidRPr="00A63576">
        <w:rPr>
          <w:szCs w:val="24"/>
          <w:lang w:eastAsia="pt-BR"/>
        </w:rPr>
        <w:t xml:space="preserve"> como um relevante problema</w:t>
      </w:r>
      <w:r w:rsidR="00F677B0">
        <w:rPr>
          <w:szCs w:val="24"/>
          <w:lang w:eastAsia="pt-BR"/>
        </w:rPr>
        <w:t xml:space="preserve"> </w:t>
      </w:r>
      <w:r w:rsidR="00002B97">
        <w:rPr>
          <w:szCs w:val="24"/>
          <w:lang w:eastAsia="pt-BR"/>
        </w:rPr>
        <w:t>d</w:t>
      </w:r>
      <w:r w:rsidR="00434B0D">
        <w:rPr>
          <w:szCs w:val="24"/>
          <w:lang w:eastAsia="pt-BR"/>
        </w:rPr>
        <w:t xml:space="preserve">e </w:t>
      </w:r>
      <w:r w:rsidR="008F3F26">
        <w:rPr>
          <w:szCs w:val="24"/>
          <w:lang w:eastAsia="pt-BR"/>
        </w:rPr>
        <w:t>s</w:t>
      </w:r>
      <w:r w:rsidR="00434B0D">
        <w:rPr>
          <w:szCs w:val="24"/>
          <w:lang w:eastAsia="pt-BR"/>
        </w:rPr>
        <w:t xml:space="preserve">aúde </w:t>
      </w:r>
      <w:r w:rsidR="008F3F26">
        <w:rPr>
          <w:szCs w:val="24"/>
          <w:lang w:eastAsia="pt-BR"/>
        </w:rPr>
        <w:t>p</w:t>
      </w:r>
      <w:r w:rsidRPr="00A63576">
        <w:rPr>
          <w:szCs w:val="24"/>
          <w:lang w:eastAsia="pt-BR"/>
        </w:rPr>
        <w:t>ública. Caracterizada</w:t>
      </w:r>
      <w:r w:rsidR="00A63576">
        <w:rPr>
          <w:szCs w:val="24"/>
          <w:lang w:eastAsia="pt-BR"/>
        </w:rPr>
        <w:t xml:space="preserve"> </w:t>
      </w:r>
      <w:r w:rsidRPr="00A63576">
        <w:rPr>
          <w:szCs w:val="24"/>
          <w:lang w:eastAsia="pt-BR"/>
        </w:rPr>
        <w:t xml:space="preserve">como um distúrbio complexo de </w:t>
      </w:r>
      <w:r w:rsidR="008F3F26">
        <w:rPr>
          <w:szCs w:val="24"/>
          <w:lang w:eastAsia="pt-BR"/>
        </w:rPr>
        <w:t>alterações fisiopatológicas, ela e</w:t>
      </w:r>
      <w:r w:rsidRPr="00A63576">
        <w:rPr>
          <w:szCs w:val="24"/>
          <w:lang w:eastAsia="pt-BR"/>
        </w:rPr>
        <w:t>stá associada a fatores de risco</w:t>
      </w:r>
      <w:r w:rsidR="00A63576">
        <w:rPr>
          <w:szCs w:val="24"/>
          <w:lang w:eastAsia="pt-BR"/>
        </w:rPr>
        <w:t xml:space="preserve"> </w:t>
      </w:r>
      <w:r w:rsidR="008F3F26">
        <w:rPr>
          <w:szCs w:val="24"/>
          <w:lang w:eastAsia="pt-BR"/>
        </w:rPr>
        <w:t>relacionados ao perfil lipídico</w:t>
      </w:r>
      <w:r w:rsidR="00067A3F">
        <w:rPr>
          <w:szCs w:val="24"/>
          <w:lang w:eastAsia="pt-BR"/>
        </w:rPr>
        <w:t xml:space="preserve"> (dislipidemia)</w:t>
      </w:r>
      <w:r w:rsidR="008F3F26">
        <w:rPr>
          <w:szCs w:val="24"/>
          <w:lang w:eastAsia="pt-BR"/>
        </w:rPr>
        <w:t>, glicêmico</w:t>
      </w:r>
      <w:r w:rsidR="00067A3F">
        <w:rPr>
          <w:szCs w:val="24"/>
          <w:lang w:eastAsia="pt-BR"/>
        </w:rPr>
        <w:t xml:space="preserve"> (</w:t>
      </w:r>
      <w:r w:rsidR="00067A3F" w:rsidRPr="00A63576">
        <w:rPr>
          <w:szCs w:val="24"/>
        </w:rPr>
        <w:t>anormalidade da glicemia de jejum, tolerância diminuída à glicose ou presença de DM</w:t>
      </w:r>
      <w:r w:rsidR="00067A3F">
        <w:rPr>
          <w:szCs w:val="24"/>
          <w:lang w:eastAsia="pt-BR"/>
        </w:rPr>
        <w:t>)</w:t>
      </w:r>
      <w:r w:rsidR="008F3F26">
        <w:rPr>
          <w:szCs w:val="24"/>
          <w:lang w:eastAsia="pt-BR"/>
        </w:rPr>
        <w:t>, níveis pressóricos</w:t>
      </w:r>
      <w:r w:rsidR="00067A3F">
        <w:rPr>
          <w:szCs w:val="24"/>
          <w:lang w:eastAsia="pt-BR"/>
        </w:rPr>
        <w:t xml:space="preserve"> (hipertensão arterial sistêmica)</w:t>
      </w:r>
      <w:r w:rsidR="008F3F26">
        <w:rPr>
          <w:szCs w:val="24"/>
          <w:lang w:eastAsia="pt-BR"/>
        </w:rPr>
        <w:t xml:space="preserve"> e obesidade abdominal.</w:t>
      </w:r>
    </w:p>
    <w:p w:rsidR="00C06B10" w:rsidRDefault="00BD2E9E" w:rsidP="00042A0B">
      <w:pPr>
        <w:autoSpaceDE w:val="0"/>
        <w:autoSpaceDN w:val="0"/>
        <w:adjustRightInd w:val="0"/>
        <w:spacing w:after="0"/>
        <w:ind w:firstLine="708"/>
        <w:rPr>
          <w:szCs w:val="24"/>
        </w:rPr>
      </w:pPr>
      <w:r w:rsidRPr="00A63576">
        <w:rPr>
          <w:szCs w:val="24"/>
          <w:lang w:eastAsia="pt-BR"/>
        </w:rPr>
        <w:t xml:space="preserve">Dentre os vários critérios diagnósticos existentes para SM, </w:t>
      </w:r>
      <w:r w:rsidR="00C06B10">
        <w:rPr>
          <w:szCs w:val="24"/>
          <w:lang w:eastAsia="pt-BR"/>
        </w:rPr>
        <w:t xml:space="preserve">os mais utilizados são os </w:t>
      </w:r>
      <w:r w:rsidR="00A93817" w:rsidRPr="00A93817">
        <w:rPr>
          <w:szCs w:val="24"/>
        </w:rPr>
        <w:t>National Cholesterol Education</w:t>
      </w:r>
      <w:r w:rsidR="00A93817">
        <w:rPr>
          <w:szCs w:val="24"/>
        </w:rPr>
        <w:t xml:space="preserve"> </w:t>
      </w:r>
      <w:r w:rsidR="00A93817" w:rsidRPr="00A93817">
        <w:rPr>
          <w:szCs w:val="24"/>
        </w:rPr>
        <w:t>Program’s Adult Tre</w:t>
      </w:r>
      <w:r w:rsidR="00C06B10">
        <w:rPr>
          <w:szCs w:val="24"/>
        </w:rPr>
        <w:t xml:space="preserve">atment Panel III (NCEP-ATPIII), </w:t>
      </w:r>
      <w:r w:rsidR="00A93817" w:rsidRPr="00A93817">
        <w:rPr>
          <w:szCs w:val="24"/>
        </w:rPr>
        <w:lastRenderedPageBreak/>
        <w:t>International Diabetes Federation (IDF)</w:t>
      </w:r>
      <w:r w:rsidR="00C06B10">
        <w:rPr>
          <w:szCs w:val="24"/>
        </w:rPr>
        <w:t xml:space="preserve"> e </w:t>
      </w:r>
      <w:r w:rsidR="00C06B10" w:rsidRPr="00C06B10">
        <w:rPr>
          <w:szCs w:val="24"/>
        </w:rPr>
        <w:t>Joint Interim Statement</w:t>
      </w:r>
      <w:r w:rsidR="00C06B10">
        <w:rPr>
          <w:szCs w:val="24"/>
        </w:rPr>
        <w:t xml:space="preserve"> (JIS)</w:t>
      </w:r>
      <w:r w:rsidR="00A93817" w:rsidRPr="00A93817">
        <w:rPr>
          <w:szCs w:val="24"/>
        </w:rPr>
        <w:t>,</w:t>
      </w:r>
      <w:r w:rsidR="00A93817">
        <w:rPr>
          <w:szCs w:val="24"/>
        </w:rPr>
        <w:t xml:space="preserve"> </w:t>
      </w:r>
      <w:r w:rsidR="00A93817" w:rsidRPr="00A93817">
        <w:rPr>
          <w:szCs w:val="24"/>
        </w:rPr>
        <w:t>e</w:t>
      </w:r>
      <w:r w:rsidR="00C06B10">
        <w:rPr>
          <w:szCs w:val="24"/>
        </w:rPr>
        <w:t xml:space="preserve"> é possível observar</w:t>
      </w:r>
      <w:r w:rsidR="00A93817" w:rsidRPr="00A93817">
        <w:rPr>
          <w:szCs w:val="24"/>
        </w:rPr>
        <w:t xml:space="preserve"> algumas diferenças entre eles</w:t>
      </w:r>
      <w:r w:rsidR="00042A0B">
        <w:rPr>
          <w:szCs w:val="24"/>
        </w:rPr>
        <w:t>.</w:t>
      </w:r>
    </w:p>
    <w:p w:rsidR="00A93817" w:rsidRPr="00A93817" w:rsidRDefault="00C06B10" w:rsidP="00A93817">
      <w:pPr>
        <w:autoSpaceDE w:val="0"/>
        <w:autoSpaceDN w:val="0"/>
        <w:adjustRightInd w:val="0"/>
        <w:spacing w:after="0"/>
        <w:ind w:firstLine="708"/>
        <w:rPr>
          <w:szCs w:val="24"/>
        </w:rPr>
      </w:pPr>
      <w:r>
        <w:rPr>
          <w:szCs w:val="24"/>
        </w:rPr>
        <w:t>O</w:t>
      </w:r>
      <w:r w:rsidR="00A93817" w:rsidRPr="00A93817">
        <w:rPr>
          <w:szCs w:val="24"/>
        </w:rPr>
        <w:t xml:space="preserve"> NCEP-ATPIII classifica a SM pela presença</w:t>
      </w:r>
      <w:r w:rsidR="00A93817">
        <w:rPr>
          <w:szCs w:val="24"/>
        </w:rPr>
        <w:t xml:space="preserve"> </w:t>
      </w:r>
      <w:r w:rsidR="00A93817" w:rsidRPr="00A93817">
        <w:rPr>
          <w:szCs w:val="24"/>
        </w:rPr>
        <w:t>de pelo menos 3 dos seguintes critérios: Glicemia de jejum ≥ 100 mg/d</w:t>
      </w:r>
      <w:r>
        <w:rPr>
          <w:szCs w:val="24"/>
        </w:rPr>
        <w:t>L</w:t>
      </w:r>
      <w:r w:rsidR="00A93817" w:rsidRPr="00A93817">
        <w:rPr>
          <w:szCs w:val="24"/>
        </w:rPr>
        <w:t xml:space="preserve">; </w:t>
      </w:r>
      <w:r>
        <w:rPr>
          <w:szCs w:val="24"/>
        </w:rPr>
        <w:t>circunferência abdominal ≥</w:t>
      </w:r>
      <w:r w:rsidRPr="00A93817">
        <w:rPr>
          <w:szCs w:val="24"/>
        </w:rPr>
        <w:t xml:space="preserve"> 102</w:t>
      </w:r>
      <w:r>
        <w:rPr>
          <w:szCs w:val="24"/>
        </w:rPr>
        <w:t xml:space="preserve"> </w:t>
      </w:r>
      <w:r w:rsidRPr="00A93817">
        <w:rPr>
          <w:szCs w:val="24"/>
        </w:rPr>
        <w:t>cm para homens</w:t>
      </w:r>
      <w:r>
        <w:rPr>
          <w:szCs w:val="24"/>
        </w:rPr>
        <w:t xml:space="preserve"> ou ≥</w:t>
      </w:r>
      <w:r w:rsidR="00A93817" w:rsidRPr="00A93817">
        <w:rPr>
          <w:szCs w:val="24"/>
        </w:rPr>
        <w:t xml:space="preserve"> 88</w:t>
      </w:r>
      <w:r>
        <w:rPr>
          <w:szCs w:val="24"/>
        </w:rPr>
        <w:t xml:space="preserve"> </w:t>
      </w:r>
      <w:r w:rsidR="00A93817" w:rsidRPr="00A93817">
        <w:rPr>
          <w:szCs w:val="24"/>
        </w:rPr>
        <w:t>cm</w:t>
      </w:r>
      <w:r>
        <w:rPr>
          <w:szCs w:val="24"/>
        </w:rPr>
        <w:t xml:space="preserve"> para mulheres</w:t>
      </w:r>
      <w:r w:rsidR="00A93817" w:rsidRPr="00A93817">
        <w:rPr>
          <w:szCs w:val="24"/>
        </w:rPr>
        <w:t>, HDL</w:t>
      </w:r>
      <w:r>
        <w:rPr>
          <w:szCs w:val="24"/>
        </w:rPr>
        <w:t xml:space="preserve"> </w:t>
      </w:r>
      <w:r w:rsidRPr="00A93817">
        <w:rPr>
          <w:szCs w:val="24"/>
        </w:rPr>
        <w:t>&lt; 40mg/dL para homens</w:t>
      </w:r>
      <w:r>
        <w:rPr>
          <w:szCs w:val="24"/>
        </w:rPr>
        <w:t xml:space="preserve"> ou &lt; 50mg/dL para mulheres; triglicerídeos ≥ 150 mg/dL</w:t>
      </w:r>
      <w:r w:rsidR="00A93817" w:rsidRPr="00A93817">
        <w:rPr>
          <w:szCs w:val="24"/>
        </w:rPr>
        <w:t>;</w:t>
      </w:r>
      <w:r w:rsidR="00A93817">
        <w:rPr>
          <w:szCs w:val="24"/>
        </w:rPr>
        <w:t xml:space="preserve"> </w:t>
      </w:r>
      <w:r w:rsidR="00A93817" w:rsidRPr="00A93817">
        <w:rPr>
          <w:szCs w:val="24"/>
        </w:rPr>
        <w:t>e</w:t>
      </w:r>
      <w:r>
        <w:rPr>
          <w:szCs w:val="24"/>
        </w:rPr>
        <w:t>/ou Pressão arterial ≥ 130/85 mmHg.</w:t>
      </w:r>
    </w:p>
    <w:p w:rsidR="00A93817" w:rsidRDefault="00C06B10" w:rsidP="00A93817">
      <w:pPr>
        <w:autoSpaceDE w:val="0"/>
        <w:autoSpaceDN w:val="0"/>
        <w:adjustRightInd w:val="0"/>
        <w:spacing w:after="0"/>
        <w:ind w:firstLine="708"/>
        <w:rPr>
          <w:szCs w:val="24"/>
        </w:rPr>
      </w:pPr>
      <w:r>
        <w:rPr>
          <w:szCs w:val="24"/>
        </w:rPr>
        <w:t>Já o IDF prevê a</w:t>
      </w:r>
      <w:r w:rsidR="00A93817" w:rsidRPr="00A93817">
        <w:rPr>
          <w:szCs w:val="24"/>
        </w:rPr>
        <w:t xml:space="preserve"> presença</w:t>
      </w:r>
      <w:r>
        <w:rPr>
          <w:szCs w:val="24"/>
        </w:rPr>
        <w:t xml:space="preserve"> obrigatória</w:t>
      </w:r>
      <w:r w:rsidR="00A93817" w:rsidRPr="00A93817">
        <w:rPr>
          <w:szCs w:val="24"/>
        </w:rPr>
        <w:t xml:space="preserve"> do critério circunferência abdominal, </w:t>
      </w:r>
      <w:r>
        <w:rPr>
          <w:szCs w:val="24"/>
        </w:rPr>
        <w:t>send</w:t>
      </w:r>
      <w:r w:rsidR="00A93817" w:rsidRPr="00A93817">
        <w:rPr>
          <w:szCs w:val="24"/>
        </w:rPr>
        <w:t xml:space="preserve">o </w:t>
      </w:r>
      <w:r w:rsidR="00D229B2">
        <w:rPr>
          <w:szCs w:val="24"/>
        </w:rPr>
        <w:t xml:space="preserve">≥ 94 </w:t>
      </w:r>
      <w:r w:rsidR="00D229B2" w:rsidRPr="00A93817">
        <w:rPr>
          <w:szCs w:val="24"/>
        </w:rPr>
        <w:t>cm para homens</w:t>
      </w:r>
      <w:r w:rsidR="00D229B2">
        <w:rPr>
          <w:szCs w:val="24"/>
        </w:rPr>
        <w:t xml:space="preserve"> ou ≥</w:t>
      </w:r>
      <w:r w:rsidR="00D229B2" w:rsidRPr="00A93817">
        <w:rPr>
          <w:szCs w:val="24"/>
        </w:rPr>
        <w:t xml:space="preserve"> </w:t>
      </w:r>
      <w:r w:rsidR="00D229B2">
        <w:rPr>
          <w:szCs w:val="24"/>
        </w:rPr>
        <w:t xml:space="preserve">80 </w:t>
      </w:r>
      <w:r w:rsidR="00D229B2" w:rsidRPr="00A93817">
        <w:rPr>
          <w:szCs w:val="24"/>
        </w:rPr>
        <w:t>cm</w:t>
      </w:r>
      <w:r w:rsidR="00D229B2">
        <w:rPr>
          <w:szCs w:val="24"/>
        </w:rPr>
        <w:t xml:space="preserve"> para mulheres, </w:t>
      </w:r>
      <w:r w:rsidR="00A93817" w:rsidRPr="00A93817">
        <w:rPr>
          <w:szCs w:val="24"/>
        </w:rPr>
        <w:t>associada a dois outros fatores listados no NCEP-ATPIII</w:t>
      </w:r>
      <w:r w:rsidR="00D229B2">
        <w:rPr>
          <w:szCs w:val="24"/>
        </w:rPr>
        <w:t>.</w:t>
      </w:r>
    </w:p>
    <w:p w:rsidR="00D229B2" w:rsidRDefault="00D229B2" w:rsidP="00A93817">
      <w:pPr>
        <w:autoSpaceDE w:val="0"/>
        <w:autoSpaceDN w:val="0"/>
        <w:adjustRightInd w:val="0"/>
        <w:spacing w:after="0"/>
        <w:ind w:firstLine="708"/>
        <w:rPr>
          <w:szCs w:val="24"/>
        </w:rPr>
      </w:pPr>
      <w:r>
        <w:rPr>
          <w:szCs w:val="24"/>
        </w:rPr>
        <w:t xml:space="preserve">O critério JIS classifica a SM pela presença de pelo menos 3 dos critérios citados no </w:t>
      </w:r>
      <w:r w:rsidRPr="00A93817">
        <w:rPr>
          <w:szCs w:val="24"/>
        </w:rPr>
        <w:t>NCEP-ATPIII</w:t>
      </w:r>
      <w:r>
        <w:rPr>
          <w:szCs w:val="24"/>
        </w:rPr>
        <w:t xml:space="preserve">, porém o valor de corte para a circunferência abdominal é ≥ 94 </w:t>
      </w:r>
      <w:r w:rsidRPr="00A93817">
        <w:rPr>
          <w:szCs w:val="24"/>
        </w:rPr>
        <w:t>cm para homens</w:t>
      </w:r>
      <w:r>
        <w:rPr>
          <w:szCs w:val="24"/>
        </w:rPr>
        <w:t xml:space="preserve"> ou ≥</w:t>
      </w:r>
      <w:r w:rsidRPr="00A93817">
        <w:rPr>
          <w:szCs w:val="24"/>
        </w:rPr>
        <w:t xml:space="preserve"> </w:t>
      </w:r>
      <w:r>
        <w:rPr>
          <w:szCs w:val="24"/>
        </w:rPr>
        <w:t xml:space="preserve">80 </w:t>
      </w:r>
      <w:r w:rsidRPr="00A93817">
        <w:rPr>
          <w:szCs w:val="24"/>
        </w:rPr>
        <w:t>cm</w:t>
      </w:r>
      <w:r>
        <w:rPr>
          <w:szCs w:val="24"/>
        </w:rPr>
        <w:t xml:space="preserve"> para mulheres.</w:t>
      </w:r>
    </w:p>
    <w:p w:rsidR="005C382A" w:rsidRDefault="00907791" w:rsidP="00A63576">
      <w:pPr>
        <w:pStyle w:val="Ttulo"/>
        <w:spacing w:line="360" w:lineRule="auto"/>
        <w:ind w:firstLine="709"/>
        <w:jc w:val="both"/>
        <w:rPr>
          <w:rFonts w:ascii="Times New Roman" w:hAnsi="Times New Roman" w:cs="Times New Roman"/>
          <w:b w:val="0"/>
          <w:u w:val="none"/>
        </w:rPr>
      </w:pPr>
      <w:r>
        <w:rPr>
          <w:rFonts w:ascii="Times New Roman" w:hAnsi="Times New Roman" w:cs="Times New Roman"/>
          <w:b w:val="0"/>
          <w:u w:val="none"/>
        </w:rPr>
        <w:t>O objetivo deste trabalho é i</w:t>
      </w:r>
      <w:r w:rsidR="005C382A" w:rsidRPr="00A63576">
        <w:rPr>
          <w:rFonts w:ascii="Times New Roman" w:hAnsi="Times New Roman" w:cs="Times New Roman"/>
          <w:b w:val="0"/>
          <w:u w:val="none"/>
        </w:rPr>
        <w:t xml:space="preserve">dentificar a presença de </w:t>
      </w:r>
      <w:r w:rsidR="00042A0B">
        <w:rPr>
          <w:rFonts w:ascii="Times New Roman" w:hAnsi="Times New Roman" w:cs="Times New Roman"/>
          <w:b w:val="0"/>
          <w:u w:val="none"/>
        </w:rPr>
        <w:t>síndrome metabólica</w:t>
      </w:r>
      <w:r w:rsidR="00776EF2">
        <w:rPr>
          <w:rFonts w:ascii="Times New Roman" w:hAnsi="Times New Roman" w:cs="Times New Roman"/>
          <w:b w:val="0"/>
          <w:u w:val="none"/>
        </w:rPr>
        <w:t xml:space="preserve"> em idosos atendidos no Projeto de </w:t>
      </w:r>
      <w:r w:rsidR="005C382A" w:rsidRPr="00A63576">
        <w:rPr>
          <w:rFonts w:ascii="Times New Roman" w:hAnsi="Times New Roman" w:cs="Times New Roman"/>
          <w:b w:val="0"/>
          <w:u w:val="none"/>
        </w:rPr>
        <w:t xml:space="preserve">Atendimento Multidisciplinar ao Idoso </w:t>
      </w:r>
      <w:r w:rsidR="00776EF2">
        <w:rPr>
          <w:rFonts w:ascii="Times New Roman" w:hAnsi="Times New Roman" w:cs="Times New Roman"/>
          <w:b w:val="0"/>
          <w:u w:val="none"/>
        </w:rPr>
        <w:t>– AMI – em</w:t>
      </w:r>
      <w:r w:rsidR="005C382A" w:rsidRPr="00A63576">
        <w:rPr>
          <w:rFonts w:ascii="Times New Roman" w:hAnsi="Times New Roman" w:cs="Times New Roman"/>
          <w:b w:val="0"/>
          <w:u w:val="none"/>
        </w:rPr>
        <w:t xml:space="preserve"> Campo Grande, MS, conforme os critérios diagnósticos: NCEP ATP III, IDF e JIS.</w:t>
      </w:r>
    </w:p>
    <w:p w:rsidR="005C382A" w:rsidRPr="003B4FCC" w:rsidRDefault="005C382A" w:rsidP="003B4FCC">
      <w:pPr>
        <w:spacing w:after="0"/>
        <w:contextualSpacing/>
        <w:rPr>
          <w:b/>
          <w:szCs w:val="24"/>
        </w:rPr>
      </w:pPr>
    </w:p>
    <w:p w:rsidR="005C382A" w:rsidRPr="00344A32" w:rsidRDefault="005A0C04" w:rsidP="00344A32">
      <w:pPr>
        <w:pStyle w:val="PargrafodaLista"/>
        <w:numPr>
          <w:ilvl w:val="0"/>
          <w:numId w:val="8"/>
        </w:numPr>
        <w:spacing w:after="0"/>
        <w:rPr>
          <w:b/>
        </w:rPr>
      </w:pPr>
      <w:r w:rsidRPr="00344A32">
        <w:rPr>
          <w:b/>
        </w:rPr>
        <w:t>MÉTODO</w:t>
      </w:r>
    </w:p>
    <w:p w:rsidR="0083449B" w:rsidRDefault="0083449B" w:rsidP="00B3407D">
      <w:pPr>
        <w:spacing w:after="0"/>
        <w:contextualSpacing/>
        <w:rPr>
          <w:rFonts w:cs="Calibri Light"/>
          <w:color w:val="000000"/>
          <w:szCs w:val="24"/>
        </w:rPr>
      </w:pPr>
    </w:p>
    <w:p w:rsidR="005A0C04" w:rsidRDefault="005A0C04" w:rsidP="00B3407D">
      <w:pPr>
        <w:spacing w:after="0"/>
        <w:contextualSpacing/>
        <w:rPr>
          <w:szCs w:val="24"/>
        </w:rPr>
      </w:pPr>
      <w:r w:rsidRPr="005A0C04">
        <w:rPr>
          <w:rFonts w:cs="Calibri Light"/>
          <w:color w:val="000000"/>
          <w:szCs w:val="24"/>
        </w:rPr>
        <w:t xml:space="preserve">Esta pesquisa teve uma abordagem </w:t>
      </w:r>
      <w:r w:rsidRPr="005A0C04">
        <w:rPr>
          <w:szCs w:val="24"/>
        </w:rPr>
        <w:t>quantitativa, descritiva e transversal</w:t>
      </w:r>
      <w:r w:rsidR="00B3407D">
        <w:rPr>
          <w:szCs w:val="24"/>
        </w:rPr>
        <w:t>.</w:t>
      </w:r>
      <w:r w:rsidRPr="005A0C04">
        <w:rPr>
          <w:szCs w:val="24"/>
        </w:rPr>
        <w:t xml:space="preserve"> </w:t>
      </w:r>
      <w:r w:rsidR="00B3407D" w:rsidRPr="005A0C04">
        <w:rPr>
          <w:rFonts w:cs="Calibri Light"/>
          <w:color w:val="000000"/>
          <w:szCs w:val="24"/>
        </w:rPr>
        <w:t>F</w:t>
      </w:r>
      <w:r w:rsidRPr="005A0C04">
        <w:rPr>
          <w:rFonts w:cs="Calibri Light"/>
          <w:color w:val="000000"/>
          <w:szCs w:val="24"/>
        </w:rPr>
        <w:t>oi aprovada pelo Comitê de Ética</w:t>
      </w:r>
      <w:r w:rsidR="00B3407D">
        <w:rPr>
          <w:rFonts w:cs="Calibri Light"/>
          <w:color w:val="000000"/>
          <w:szCs w:val="24"/>
        </w:rPr>
        <w:t xml:space="preserve"> </w:t>
      </w:r>
      <w:r w:rsidR="00B3407D" w:rsidRPr="00B3407D">
        <w:rPr>
          <w:rFonts w:cs="Calibri Light"/>
          <w:color w:val="000000"/>
          <w:szCs w:val="24"/>
        </w:rPr>
        <w:t>em Pesquisa com Seres Humanos da Universidade Federal do Mato</w:t>
      </w:r>
      <w:r w:rsidR="00B3407D">
        <w:rPr>
          <w:rFonts w:cs="Calibri Light"/>
          <w:color w:val="000000"/>
          <w:szCs w:val="24"/>
        </w:rPr>
        <w:t xml:space="preserve"> </w:t>
      </w:r>
      <w:r w:rsidR="00B3407D" w:rsidRPr="00B3407D">
        <w:rPr>
          <w:rFonts w:cs="Calibri Light"/>
          <w:color w:val="000000"/>
          <w:szCs w:val="24"/>
        </w:rPr>
        <w:t xml:space="preserve">Grosso do Sul (CEP/UFMS) </w:t>
      </w:r>
      <w:r w:rsidR="008A0990">
        <w:rPr>
          <w:rFonts w:cs="Calibri Light"/>
          <w:color w:val="000000"/>
          <w:szCs w:val="24"/>
        </w:rPr>
        <w:t>parecer nº</w:t>
      </w:r>
      <w:r w:rsidR="00B3407D">
        <w:rPr>
          <w:rFonts w:cs="Calibri Light"/>
          <w:color w:val="000000"/>
          <w:szCs w:val="24"/>
        </w:rPr>
        <w:t xml:space="preserve"> 2.407.475</w:t>
      </w:r>
      <w:r w:rsidRPr="005A0C04">
        <w:rPr>
          <w:rFonts w:cs="Calibri Light"/>
          <w:color w:val="000000"/>
          <w:szCs w:val="24"/>
        </w:rPr>
        <w:t xml:space="preserve"> (CAEE </w:t>
      </w:r>
      <w:r w:rsidR="000F0F83" w:rsidRPr="000F0F83">
        <w:rPr>
          <w:color w:val="000000"/>
          <w:szCs w:val="24"/>
        </w:rPr>
        <w:t>79997017.8.0000.0021</w:t>
      </w:r>
      <w:r w:rsidRPr="005A0C04">
        <w:rPr>
          <w:rFonts w:cs="Calibri Light"/>
          <w:color w:val="000000"/>
          <w:szCs w:val="24"/>
        </w:rPr>
        <w:t xml:space="preserve">). A partir da aprovação, deu-se início à coleta de dados, a qual foi realizada nos meses de </w:t>
      </w:r>
      <w:r w:rsidR="00B3407D">
        <w:rPr>
          <w:szCs w:val="24"/>
        </w:rPr>
        <w:t>abril a julho de 2018,</w:t>
      </w:r>
      <w:r w:rsidRPr="005A0C04">
        <w:rPr>
          <w:szCs w:val="24"/>
        </w:rPr>
        <w:t xml:space="preserve"> no ambulatório de um hospital de retaguarda na cidade de Campo Grande, Mato Grosso do Sul.</w:t>
      </w:r>
    </w:p>
    <w:p w:rsidR="00486B08" w:rsidRDefault="00B3407D" w:rsidP="0064443D">
      <w:pPr>
        <w:spacing w:after="0"/>
        <w:contextualSpacing/>
        <w:rPr>
          <w:szCs w:val="24"/>
        </w:rPr>
      </w:pPr>
      <w:r w:rsidRPr="005A0C04">
        <w:rPr>
          <w:szCs w:val="24"/>
        </w:rPr>
        <w:t>Para a coleta dos dados foi utilizado um formulário de pesquisa</w:t>
      </w:r>
      <w:r>
        <w:rPr>
          <w:szCs w:val="24"/>
        </w:rPr>
        <w:t xml:space="preserve"> desenvolvido e </w:t>
      </w:r>
      <w:r w:rsidRPr="005A0C04">
        <w:rPr>
          <w:szCs w:val="24"/>
        </w:rPr>
        <w:t>padronizado</w:t>
      </w:r>
      <w:r>
        <w:rPr>
          <w:szCs w:val="24"/>
        </w:rPr>
        <w:t xml:space="preserve"> pelas pesquisadoras</w:t>
      </w:r>
      <w:r w:rsidRPr="005A0C04">
        <w:rPr>
          <w:szCs w:val="24"/>
        </w:rPr>
        <w:t xml:space="preserve"> (APÊNDICE 1). Este foi preenchido conforme a coleta dos seguintes dados: identificação, gênero, idade, </w:t>
      </w:r>
      <w:r>
        <w:rPr>
          <w:szCs w:val="24"/>
        </w:rPr>
        <w:t xml:space="preserve">se o indivíduo </w:t>
      </w:r>
      <w:r w:rsidR="00486B08">
        <w:rPr>
          <w:szCs w:val="24"/>
        </w:rPr>
        <w:t>é etilista e/ou tabagista, se realiza</w:t>
      </w:r>
      <w:r>
        <w:rPr>
          <w:szCs w:val="24"/>
        </w:rPr>
        <w:t xml:space="preserve"> </w:t>
      </w:r>
      <w:r w:rsidR="00486B08">
        <w:rPr>
          <w:szCs w:val="24"/>
        </w:rPr>
        <w:t xml:space="preserve">a </w:t>
      </w:r>
      <w:r w:rsidRPr="005A0C04">
        <w:rPr>
          <w:szCs w:val="24"/>
        </w:rPr>
        <w:t xml:space="preserve">prática de </w:t>
      </w:r>
      <w:r w:rsidR="00486B08">
        <w:rPr>
          <w:szCs w:val="24"/>
        </w:rPr>
        <w:t xml:space="preserve">alguma </w:t>
      </w:r>
      <w:r w:rsidRPr="005A0C04">
        <w:rPr>
          <w:szCs w:val="24"/>
        </w:rPr>
        <w:t>atividade física,</w:t>
      </w:r>
      <w:r w:rsidR="00486B08">
        <w:rPr>
          <w:szCs w:val="24"/>
        </w:rPr>
        <w:t xml:space="preserve"> se realiza</w:t>
      </w:r>
      <w:r w:rsidRPr="005A0C04">
        <w:rPr>
          <w:szCs w:val="24"/>
        </w:rPr>
        <w:t xml:space="preserve"> controle glicêmico e</w:t>
      </w:r>
      <w:r>
        <w:rPr>
          <w:szCs w:val="24"/>
        </w:rPr>
        <w:t>/ou</w:t>
      </w:r>
      <w:r w:rsidRPr="005A0C04">
        <w:rPr>
          <w:szCs w:val="24"/>
        </w:rPr>
        <w:t xml:space="preserve"> pressórico, diagnósticos clínicos </w:t>
      </w:r>
      <w:r>
        <w:rPr>
          <w:szCs w:val="24"/>
        </w:rPr>
        <w:t>(como</w:t>
      </w:r>
      <w:r w:rsidRPr="005A0C04">
        <w:rPr>
          <w:szCs w:val="24"/>
        </w:rPr>
        <w:t xml:space="preserve"> </w:t>
      </w:r>
      <w:r w:rsidR="00632A38">
        <w:rPr>
          <w:szCs w:val="24"/>
        </w:rPr>
        <w:t>diabetes mellitus</w:t>
      </w:r>
      <w:r w:rsidRPr="005A0C04">
        <w:rPr>
          <w:szCs w:val="24"/>
        </w:rPr>
        <w:t xml:space="preserve">, </w:t>
      </w:r>
      <w:r w:rsidR="00632A38">
        <w:rPr>
          <w:szCs w:val="24"/>
        </w:rPr>
        <w:t>hipertensão arterial sistêmica</w:t>
      </w:r>
      <w:r w:rsidRPr="005A0C04">
        <w:rPr>
          <w:szCs w:val="24"/>
        </w:rPr>
        <w:t>, dislipidem</w:t>
      </w:r>
      <w:r>
        <w:rPr>
          <w:szCs w:val="24"/>
        </w:rPr>
        <w:t>ias, entre</w:t>
      </w:r>
      <w:r w:rsidRPr="005A0C04">
        <w:rPr>
          <w:szCs w:val="24"/>
        </w:rPr>
        <w:t xml:space="preserve"> outras comorbidades</w:t>
      </w:r>
      <w:r>
        <w:rPr>
          <w:szCs w:val="24"/>
        </w:rPr>
        <w:t>), frequência alimentar</w:t>
      </w:r>
      <w:r w:rsidR="0064443D">
        <w:rPr>
          <w:szCs w:val="24"/>
        </w:rPr>
        <w:t>, antropometria (peso, altura, IMC</w:t>
      </w:r>
      <w:r w:rsidR="00486B08">
        <w:rPr>
          <w:szCs w:val="24"/>
        </w:rPr>
        <w:t xml:space="preserve"> e circunferência abdominal</w:t>
      </w:r>
      <w:r w:rsidR="0064443D">
        <w:rPr>
          <w:szCs w:val="24"/>
        </w:rPr>
        <w:t>)</w:t>
      </w:r>
      <w:r w:rsidRPr="005A0C04">
        <w:rPr>
          <w:szCs w:val="24"/>
        </w:rPr>
        <w:t xml:space="preserve"> e exames laboratoriais (dosagem de glicemia de jejum, colesterol total, HDL</w:t>
      </w:r>
      <w:r w:rsidR="0064443D">
        <w:rPr>
          <w:szCs w:val="24"/>
        </w:rPr>
        <w:t xml:space="preserve">, LDL e </w:t>
      </w:r>
      <w:r w:rsidRPr="005A0C04">
        <w:rPr>
          <w:szCs w:val="24"/>
        </w:rPr>
        <w:t>triglicerídeos.</w:t>
      </w:r>
      <w:r w:rsidR="0064443D">
        <w:rPr>
          <w:szCs w:val="24"/>
        </w:rPr>
        <w:t xml:space="preserve"> </w:t>
      </w:r>
    </w:p>
    <w:p w:rsidR="00486B08" w:rsidRDefault="00486B08" w:rsidP="0064443D">
      <w:pPr>
        <w:spacing w:after="0"/>
        <w:contextualSpacing/>
      </w:pPr>
      <w:r w:rsidRPr="00BD2B74">
        <w:t>Lipschitz</w:t>
      </w:r>
      <w:r>
        <w:t xml:space="preserve"> (1994), classifica o IMC para idoso</w:t>
      </w:r>
      <w:r w:rsidR="009477CF">
        <w:t>s conforme a tabela abaixo (T</w:t>
      </w:r>
      <w:r w:rsidR="003F7B1D">
        <w:t>abela</w:t>
      </w:r>
      <w:r w:rsidR="00042A0B">
        <w:t xml:space="preserve"> 1</w:t>
      </w:r>
      <w:r>
        <w:t>).</w:t>
      </w:r>
    </w:p>
    <w:p w:rsidR="00E95A03" w:rsidRDefault="00E95A03" w:rsidP="0064443D">
      <w:pPr>
        <w:spacing w:after="0"/>
        <w:contextualSpacing/>
      </w:pPr>
    </w:p>
    <w:p w:rsidR="00486B08" w:rsidRPr="00486B08" w:rsidRDefault="00042A0B" w:rsidP="00486B08">
      <w:pPr>
        <w:spacing w:after="0"/>
        <w:ind w:firstLine="0"/>
        <w:contextualSpacing/>
      </w:pPr>
      <w:r>
        <w:rPr>
          <w:b/>
        </w:rPr>
        <w:lastRenderedPageBreak/>
        <w:t>Tabela 1</w:t>
      </w:r>
      <w:r w:rsidR="00486B08">
        <w:rPr>
          <w:b/>
        </w:rPr>
        <w:t xml:space="preserve">. </w:t>
      </w:r>
      <w:r w:rsidR="00746C3D">
        <w:t xml:space="preserve">Classificação </w:t>
      </w:r>
      <w:r w:rsidR="00486B08">
        <w:t>IMC para idosos.</w:t>
      </w:r>
    </w:p>
    <w:tbl>
      <w:tblPr>
        <w:tblStyle w:val="TabelaSimples2"/>
        <w:tblW w:w="0" w:type="auto"/>
        <w:tblLook w:val="04A0" w:firstRow="1" w:lastRow="0" w:firstColumn="1" w:lastColumn="0" w:noHBand="0" w:noVBand="1"/>
      </w:tblPr>
      <w:tblGrid>
        <w:gridCol w:w="4530"/>
        <w:gridCol w:w="4531"/>
      </w:tblGrid>
      <w:tr w:rsidR="00486B08" w:rsidTr="00486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486B08" w:rsidRPr="00486B08" w:rsidRDefault="00486B08" w:rsidP="00486B08">
            <w:pPr>
              <w:spacing w:after="0"/>
              <w:ind w:firstLine="0"/>
              <w:contextualSpacing/>
              <w:jc w:val="center"/>
            </w:pPr>
            <w:r w:rsidRPr="00486B08">
              <w:t>CLASSIFICAÇÃO</w:t>
            </w:r>
          </w:p>
        </w:tc>
        <w:tc>
          <w:tcPr>
            <w:tcW w:w="4531" w:type="dxa"/>
          </w:tcPr>
          <w:p w:rsidR="00486B08" w:rsidRPr="00486B08" w:rsidRDefault="00486B08" w:rsidP="00486B08">
            <w:pPr>
              <w:spacing w:after="0"/>
              <w:ind w:firstLine="0"/>
              <w:contextualSpacing/>
              <w:jc w:val="center"/>
              <w:cnfStyle w:val="100000000000" w:firstRow="1" w:lastRow="0" w:firstColumn="0" w:lastColumn="0" w:oddVBand="0" w:evenVBand="0" w:oddHBand="0" w:evenHBand="0" w:firstRowFirstColumn="0" w:firstRowLastColumn="0" w:lastRowFirstColumn="0" w:lastRowLastColumn="0"/>
            </w:pPr>
            <w:r w:rsidRPr="00486B08">
              <w:t>IMC</w:t>
            </w:r>
          </w:p>
        </w:tc>
      </w:tr>
      <w:tr w:rsidR="00486B08" w:rsidTr="0048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486B08" w:rsidRPr="00486B08" w:rsidRDefault="00486B08" w:rsidP="00486B08">
            <w:pPr>
              <w:spacing w:after="0"/>
              <w:ind w:firstLine="0"/>
              <w:contextualSpacing/>
              <w:jc w:val="center"/>
              <w:rPr>
                <w:b w:val="0"/>
              </w:rPr>
            </w:pPr>
            <w:r w:rsidRPr="00486B08">
              <w:rPr>
                <w:b w:val="0"/>
              </w:rPr>
              <w:t>Baixo peso</w:t>
            </w:r>
          </w:p>
        </w:tc>
        <w:tc>
          <w:tcPr>
            <w:tcW w:w="4531" w:type="dxa"/>
          </w:tcPr>
          <w:p w:rsidR="00486B08" w:rsidRDefault="00486B08" w:rsidP="00486B08">
            <w:pPr>
              <w:spacing w:after="0"/>
              <w:ind w:firstLine="0"/>
              <w:contextualSpacing/>
              <w:jc w:val="center"/>
              <w:cnfStyle w:val="000000100000" w:firstRow="0" w:lastRow="0" w:firstColumn="0" w:lastColumn="0" w:oddVBand="0" w:evenVBand="0" w:oddHBand="1" w:evenHBand="0" w:firstRowFirstColumn="0" w:firstRowLastColumn="0" w:lastRowFirstColumn="0" w:lastRowLastColumn="0"/>
            </w:pPr>
            <w:r>
              <w:t>&lt; 22 kg/m²</w:t>
            </w:r>
          </w:p>
        </w:tc>
      </w:tr>
      <w:tr w:rsidR="00486B08" w:rsidTr="00486B08">
        <w:tc>
          <w:tcPr>
            <w:cnfStyle w:val="001000000000" w:firstRow="0" w:lastRow="0" w:firstColumn="1" w:lastColumn="0" w:oddVBand="0" w:evenVBand="0" w:oddHBand="0" w:evenHBand="0" w:firstRowFirstColumn="0" w:firstRowLastColumn="0" w:lastRowFirstColumn="0" w:lastRowLastColumn="0"/>
            <w:tcW w:w="4530" w:type="dxa"/>
          </w:tcPr>
          <w:p w:rsidR="00486B08" w:rsidRPr="00486B08" w:rsidRDefault="00486B08" w:rsidP="00486B08">
            <w:pPr>
              <w:spacing w:after="0"/>
              <w:ind w:firstLine="0"/>
              <w:contextualSpacing/>
              <w:jc w:val="center"/>
              <w:rPr>
                <w:b w:val="0"/>
              </w:rPr>
            </w:pPr>
            <w:r w:rsidRPr="00486B08">
              <w:rPr>
                <w:b w:val="0"/>
              </w:rPr>
              <w:t>Eutrofia</w:t>
            </w:r>
          </w:p>
        </w:tc>
        <w:tc>
          <w:tcPr>
            <w:tcW w:w="4531" w:type="dxa"/>
          </w:tcPr>
          <w:p w:rsidR="00486B08" w:rsidRDefault="00486B08" w:rsidP="00486B08">
            <w:pPr>
              <w:spacing w:after="0"/>
              <w:ind w:firstLine="0"/>
              <w:contextualSpacing/>
              <w:jc w:val="center"/>
              <w:cnfStyle w:val="000000000000" w:firstRow="0" w:lastRow="0" w:firstColumn="0" w:lastColumn="0" w:oddVBand="0" w:evenVBand="0" w:oddHBand="0" w:evenHBand="0" w:firstRowFirstColumn="0" w:firstRowLastColumn="0" w:lastRowFirstColumn="0" w:lastRowLastColumn="0"/>
            </w:pPr>
            <w:r>
              <w:t>22 – 27 kg/m²</w:t>
            </w:r>
          </w:p>
        </w:tc>
      </w:tr>
      <w:tr w:rsidR="00486B08" w:rsidTr="0048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486B08" w:rsidRPr="00486B08" w:rsidRDefault="00486B08" w:rsidP="00486B08">
            <w:pPr>
              <w:spacing w:after="0"/>
              <w:ind w:firstLine="0"/>
              <w:contextualSpacing/>
              <w:jc w:val="center"/>
              <w:rPr>
                <w:b w:val="0"/>
              </w:rPr>
            </w:pPr>
            <w:r w:rsidRPr="00486B08">
              <w:rPr>
                <w:b w:val="0"/>
              </w:rPr>
              <w:t>Sobrepeso</w:t>
            </w:r>
          </w:p>
        </w:tc>
        <w:tc>
          <w:tcPr>
            <w:tcW w:w="4531" w:type="dxa"/>
          </w:tcPr>
          <w:p w:rsidR="00486B08" w:rsidRDefault="00486B08" w:rsidP="00486B08">
            <w:pPr>
              <w:spacing w:after="0"/>
              <w:ind w:firstLine="0"/>
              <w:contextualSpacing/>
              <w:jc w:val="center"/>
              <w:cnfStyle w:val="000000100000" w:firstRow="0" w:lastRow="0" w:firstColumn="0" w:lastColumn="0" w:oddVBand="0" w:evenVBand="0" w:oddHBand="1" w:evenHBand="0" w:firstRowFirstColumn="0" w:firstRowLastColumn="0" w:lastRowFirstColumn="0" w:lastRowLastColumn="0"/>
            </w:pPr>
            <w:r>
              <w:t>&gt; 27 kg/m²</w:t>
            </w:r>
          </w:p>
        </w:tc>
      </w:tr>
    </w:tbl>
    <w:p w:rsidR="00486B08" w:rsidRDefault="00486B08" w:rsidP="00486B08">
      <w:pPr>
        <w:spacing w:after="0"/>
        <w:ind w:firstLine="0"/>
        <w:contextualSpacing/>
        <w:rPr>
          <w:sz w:val="20"/>
        </w:rPr>
      </w:pPr>
      <w:r w:rsidRPr="00486B08">
        <w:rPr>
          <w:b/>
          <w:sz w:val="20"/>
        </w:rPr>
        <w:t xml:space="preserve">Fonte: </w:t>
      </w:r>
      <w:r w:rsidRPr="00486B08">
        <w:rPr>
          <w:sz w:val="20"/>
        </w:rPr>
        <w:t>LIPSCHITZ, 1994.</w:t>
      </w:r>
    </w:p>
    <w:p w:rsidR="00C97E7C" w:rsidRPr="00486B08" w:rsidRDefault="00C97E7C" w:rsidP="00486B08">
      <w:pPr>
        <w:spacing w:after="0"/>
        <w:ind w:firstLine="0"/>
        <w:contextualSpacing/>
        <w:rPr>
          <w:sz w:val="20"/>
        </w:rPr>
      </w:pPr>
    </w:p>
    <w:p w:rsidR="00486B08" w:rsidRDefault="006B635F" w:rsidP="0064443D">
      <w:pPr>
        <w:spacing w:after="0"/>
        <w:contextualSpacing/>
      </w:pPr>
      <w:r w:rsidRPr="00746C3D">
        <w:t>Quant</w:t>
      </w:r>
      <w:r w:rsidR="003F7B1D">
        <w:t>o a circunferência abdominal, a</w:t>
      </w:r>
      <w:r w:rsidRPr="00746C3D">
        <w:t xml:space="preserve"> OMS (Organização Mundia</w:t>
      </w:r>
      <w:r w:rsidR="00746C3D">
        <w:t>l de Saúde) (1995) classifica o sexo feminino e masculino de acordo com a circunferência com risco aumentado ou muito aumentado para desenvolver complicações metabólicas (T</w:t>
      </w:r>
      <w:r w:rsidR="003F7B1D">
        <w:t>abela</w:t>
      </w:r>
      <w:r w:rsidR="00042A0B">
        <w:t xml:space="preserve"> 2</w:t>
      </w:r>
      <w:r w:rsidR="00746C3D">
        <w:t>).</w:t>
      </w:r>
    </w:p>
    <w:p w:rsidR="00746C3D" w:rsidRDefault="00F3380E" w:rsidP="009477CF">
      <w:pPr>
        <w:spacing w:after="0"/>
        <w:ind w:firstLine="0"/>
        <w:contextualSpacing/>
      </w:pPr>
      <w:r>
        <w:rPr>
          <w:b/>
        </w:rPr>
        <w:t xml:space="preserve">Tabela </w:t>
      </w:r>
      <w:r w:rsidR="00042A0B">
        <w:rPr>
          <w:b/>
        </w:rPr>
        <w:t>2</w:t>
      </w:r>
      <w:r w:rsidR="00746C3D" w:rsidRPr="00746C3D">
        <w:rPr>
          <w:b/>
        </w:rPr>
        <w:t>.</w:t>
      </w:r>
      <w:r w:rsidR="00746C3D">
        <w:rPr>
          <w:b/>
        </w:rPr>
        <w:t xml:space="preserve"> </w:t>
      </w:r>
      <w:r w:rsidR="00746C3D">
        <w:t>Classificação circunferência abdominal</w:t>
      </w:r>
      <w:r w:rsidR="009477CF">
        <w:t xml:space="preserve"> e risco para desenvolver complicações metabólicas</w:t>
      </w:r>
      <w:r w:rsidR="00746C3D">
        <w:t>.</w:t>
      </w:r>
    </w:p>
    <w:tbl>
      <w:tblPr>
        <w:tblStyle w:val="TabelaSimples2"/>
        <w:tblW w:w="0" w:type="auto"/>
        <w:tblLook w:val="04A0" w:firstRow="1" w:lastRow="0" w:firstColumn="1" w:lastColumn="0" w:noHBand="0" w:noVBand="1"/>
      </w:tblPr>
      <w:tblGrid>
        <w:gridCol w:w="3020"/>
        <w:gridCol w:w="3020"/>
        <w:gridCol w:w="3021"/>
      </w:tblGrid>
      <w:tr w:rsidR="00746C3D" w:rsidTr="00947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746C3D" w:rsidRDefault="00746C3D" w:rsidP="009477CF">
            <w:pPr>
              <w:spacing w:after="0"/>
              <w:ind w:firstLine="0"/>
              <w:contextualSpacing/>
              <w:jc w:val="center"/>
            </w:pPr>
          </w:p>
        </w:tc>
        <w:tc>
          <w:tcPr>
            <w:tcW w:w="3020" w:type="dxa"/>
            <w:vAlign w:val="center"/>
          </w:tcPr>
          <w:p w:rsidR="00746C3D" w:rsidRPr="009477CF" w:rsidRDefault="00746C3D" w:rsidP="009477CF">
            <w:pPr>
              <w:spacing w:after="0"/>
              <w:ind w:firstLine="0"/>
              <w:contextualSpacing/>
              <w:jc w:val="center"/>
              <w:cnfStyle w:val="100000000000" w:firstRow="1" w:lastRow="0" w:firstColumn="0" w:lastColumn="0" w:oddVBand="0" w:evenVBand="0" w:oddHBand="0" w:evenHBand="0" w:firstRowFirstColumn="0" w:firstRowLastColumn="0" w:lastRowFirstColumn="0" w:lastRowLastColumn="0"/>
            </w:pPr>
            <w:r w:rsidRPr="009477CF">
              <w:t>Risco aumentado</w:t>
            </w:r>
          </w:p>
        </w:tc>
        <w:tc>
          <w:tcPr>
            <w:tcW w:w="3021" w:type="dxa"/>
            <w:vAlign w:val="center"/>
          </w:tcPr>
          <w:p w:rsidR="00746C3D" w:rsidRPr="009477CF" w:rsidRDefault="00746C3D" w:rsidP="009477CF">
            <w:pPr>
              <w:spacing w:after="0"/>
              <w:ind w:firstLine="0"/>
              <w:contextualSpacing/>
              <w:jc w:val="center"/>
              <w:cnfStyle w:val="100000000000" w:firstRow="1" w:lastRow="0" w:firstColumn="0" w:lastColumn="0" w:oddVBand="0" w:evenVBand="0" w:oddHBand="0" w:evenHBand="0" w:firstRowFirstColumn="0" w:firstRowLastColumn="0" w:lastRowFirstColumn="0" w:lastRowLastColumn="0"/>
            </w:pPr>
            <w:r w:rsidRPr="009477CF">
              <w:t>Risco muito aumentado</w:t>
            </w:r>
          </w:p>
        </w:tc>
      </w:tr>
      <w:tr w:rsidR="00746C3D" w:rsidTr="00947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rsidR="00746C3D" w:rsidRDefault="00746C3D" w:rsidP="009477CF">
            <w:pPr>
              <w:spacing w:after="0"/>
              <w:ind w:firstLine="0"/>
              <w:contextualSpacing/>
              <w:jc w:val="center"/>
            </w:pPr>
            <w:r>
              <w:t>Feminino</w:t>
            </w:r>
          </w:p>
        </w:tc>
        <w:tc>
          <w:tcPr>
            <w:tcW w:w="3020" w:type="dxa"/>
            <w:vAlign w:val="center"/>
          </w:tcPr>
          <w:p w:rsidR="00746C3D" w:rsidRDefault="009477CF" w:rsidP="009477CF">
            <w:pPr>
              <w:spacing w:after="0"/>
              <w:ind w:firstLine="0"/>
              <w:contextualSpacing/>
              <w:jc w:val="center"/>
              <w:cnfStyle w:val="000000100000" w:firstRow="0" w:lastRow="0" w:firstColumn="0" w:lastColumn="0" w:oddVBand="0" w:evenVBand="0" w:oddHBand="1" w:evenHBand="0" w:firstRowFirstColumn="0" w:firstRowLastColumn="0" w:lastRowFirstColumn="0" w:lastRowLastColumn="0"/>
            </w:pPr>
            <w:r>
              <w:rPr>
                <w:rFonts w:cs="Times New Roman"/>
              </w:rPr>
              <w:t>≥</w:t>
            </w:r>
            <w:r>
              <w:t xml:space="preserve"> 80 cm</w:t>
            </w:r>
          </w:p>
        </w:tc>
        <w:tc>
          <w:tcPr>
            <w:tcW w:w="3021" w:type="dxa"/>
            <w:vAlign w:val="center"/>
          </w:tcPr>
          <w:p w:rsidR="00746C3D" w:rsidRDefault="009477CF" w:rsidP="009477CF">
            <w:pPr>
              <w:spacing w:after="0"/>
              <w:ind w:firstLine="0"/>
              <w:contextualSpacing/>
              <w:jc w:val="center"/>
              <w:cnfStyle w:val="000000100000" w:firstRow="0" w:lastRow="0" w:firstColumn="0" w:lastColumn="0" w:oddVBand="0" w:evenVBand="0" w:oddHBand="1" w:evenHBand="0" w:firstRowFirstColumn="0" w:firstRowLastColumn="0" w:lastRowFirstColumn="0" w:lastRowLastColumn="0"/>
            </w:pPr>
            <w:r>
              <w:rPr>
                <w:rFonts w:cs="Times New Roman"/>
              </w:rPr>
              <w:t>≥ 88 cm</w:t>
            </w:r>
          </w:p>
        </w:tc>
      </w:tr>
      <w:tr w:rsidR="00746C3D" w:rsidTr="009477CF">
        <w:tc>
          <w:tcPr>
            <w:cnfStyle w:val="001000000000" w:firstRow="0" w:lastRow="0" w:firstColumn="1" w:lastColumn="0" w:oddVBand="0" w:evenVBand="0" w:oddHBand="0" w:evenHBand="0" w:firstRowFirstColumn="0" w:firstRowLastColumn="0" w:lastRowFirstColumn="0" w:lastRowLastColumn="0"/>
            <w:tcW w:w="3020" w:type="dxa"/>
            <w:vAlign w:val="center"/>
          </w:tcPr>
          <w:p w:rsidR="00746C3D" w:rsidRDefault="009477CF" w:rsidP="009477CF">
            <w:pPr>
              <w:spacing w:after="0"/>
              <w:ind w:firstLine="0"/>
              <w:contextualSpacing/>
              <w:jc w:val="center"/>
            </w:pPr>
            <w:r>
              <w:t>M</w:t>
            </w:r>
            <w:r w:rsidR="00746C3D">
              <w:t>asculino</w:t>
            </w:r>
          </w:p>
        </w:tc>
        <w:tc>
          <w:tcPr>
            <w:tcW w:w="3020" w:type="dxa"/>
            <w:vAlign w:val="center"/>
          </w:tcPr>
          <w:p w:rsidR="00746C3D" w:rsidRDefault="009477CF" w:rsidP="009477CF">
            <w:pPr>
              <w:spacing w:after="0"/>
              <w:ind w:firstLine="0"/>
              <w:contextualSpacing/>
              <w:jc w:val="center"/>
              <w:cnfStyle w:val="000000000000" w:firstRow="0" w:lastRow="0" w:firstColumn="0" w:lastColumn="0" w:oddVBand="0" w:evenVBand="0" w:oddHBand="0" w:evenHBand="0" w:firstRowFirstColumn="0" w:firstRowLastColumn="0" w:lastRowFirstColumn="0" w:lastRowLastColumn="0"/>
            </w:pPr>
            <w:r>
              <w:rPr>
                <w:rFonts w:cs="Times New Roman"/>
              </w:rPr>
              <w:t>≥ 94 cm</w:t>
            </w:r>
          </w:p>
        </w:tc>
        <w:tc>
          <w:tcPr>
            <w:tcW w:w="3021" w:type="dxa"/>
            <w:vAlign w:val="center"/>
          </w:tcPr>
          <w:p w:rsidR="00746C3D" w:rsidRDefault="009477CF" w:rsidP="009477CF">
            <w:pPr>
              <w:spacing w:after="0"/>
              <w:ind w:firstLine="0"/>
              <w:contextualSpacing/>
              <w:jc w:val="center"/>
              <w:cnfStyle w:val="000000000000" w:firstRow="0" w:lastRow="0" w:firstColumn="0" w:lastColumn="0" w:oddVBand="0" w:evenVBand="0" w:oddHBand="0" w:evenHBand="0" w:firstRowFirstColumn="0" w:firstRowLastColumn="0" w:lastRowFirstColumn="0" w:lastRowLastColumn="0"/>
            </w:pPr>
            <w:r>
              <w:rPr>
                <w:rFonts w:cs="Times New Roman"/>
              </w:rPr>
              <w:t>≥ 102 cm</w:t>
            </w:r>
          </w:p>
        </w:tc>
      </w:tr>
    </w:tbl>
    <w:p w:rsidR="009477CF" w:rsidRDefault="009477CF" w:rsidP="009477CF">
      <w:pPr>
        <w:spacing w:after="0"/>
        <w:ind w:firstLine="0"/>
        <w:contextualSpacing/>
        <w:rPr>
          <w:sz w:val="20"/>
        </w:rPr>
      </w:pPr>
      <w:r w:rsidRPr="00486B08">
        <w:rPr>
          <w:b/>
          <w:sz w:val="20"/>
        </w:rPr>
        <w:t xml:space="preserve">Fonte: </w:t>
      </w:r>
      <w:r>
        <w:rPr>
          <w:sz w:val="20"/>
        </w:rPr>
        <w:t>OMS</w:t>
      </w:r>
      <w:r w:rsidRPr="00486B08">
        <w:rPr>
          <w:sz w:val="20"/>
        </w:rPr>
        <w:t>, 1994.</w:t>
      </w:r>
    </w:p>
    <w:p w:rsidR="00CF2B8C" w:rsidRPr="00486B08" w:rsidRDefault="00CF2B8C" w:rsidP="009477CF">
      <w:pPr>
        <w:spacing w:after="0"/>
        <w:ind w:firstLine="0"/>
        <w:contextualSpacing/>
        <w:rPr>
          <w:sz w:val="20"/>
        </w:rPr>
      </w:pPr>
    </w:p>
    <w:p w:rsidR="0064443D" w:rsidRDefault="0064443D" w:rsidP="0064443D">
      <w:pPr>
        <w:spacing w:after="0"/>
        <w:contextualSpacing/>
      </w:pPr>
      <w:r>
        <w:t xml:space="preserve">Os dados dos exames laboratoriais foram obtidos por meio dos resultados contidos nos prontuários e no sistema informatizado do hospital. Os valores de referência são determinados e segue a padronização do laboratório da instituição. </w:t>
      </w:r>
    </w:p>
    <w:p w:rsidR="005C382A" w:rsidRPr="005A0C04" w:rsidRDefault="00F677B0" w:rsidP="005A0C04">
      <w:pPr>
        <w:spacing w:after="0"/>
        <w:contextualSpacing/>
        <w:rPr>
          <w:szCs w:val="24"/>
        </w:rPr>
      </w:pPr>
      <w:r>
        <w:rPr>
          <w:szCs w:val="24"/>
        </w:rPr>
        <w:t xml:space="preserve">Os dados </w:t>
      </w:r>
      <w:r w:rsidR="0064443D">
        <w:rPr>
          <w:szCs w:val="24"/>
        </w:rPr>
        <w:t xml:space="preserve">foram </w:t>
      </w:r>
      <w:r w:rsidR="005A0C04" w:rsidRPr="005A0C04">
        <w:rPr>
          <w:szCs w:val="24"/>
        </w:rPr>
        <w:t>extraídos do</w:t>
      </w:r>
      <w:r w:rsidR="005C382A" w:rsidRPr="005A0C04">
        <w:rPr>
          <w:szCs w:val="24"/>
        </w:rPr>
        <w:t xml:space="preserve"> prontuário d</w:t>
      </w:r>
      <w:r w:rsidR="009477CF">
        <w:rPr>
          <w:szCs w:val="24"/>
        </w:rPr>
        <w:t>e</w:t>
      </w:r>
      <w:r w:rsidR="005C382A" w:rsidRPr="005A0C04">
        <w:rPr>
          <w:szCs w:val="24"/>
        </w:rPr>
        <w:t xml:space="preserve"> idosos participantes do projeto AMI (Atendimento Multidisciplinar ao Idoso)</w:t>
      </w:r>
      <w:r w:rsidR="0064443D">
        <w:rPr>
          <w:szCs w:val="24"/>
        </w:rPr>
        <w:t xml:space="preserve"> que estavam dentro dos critérios de inclusão: prontuários de indivíduos participantes do Projeto AMI, ter 60 anos ou mais e ter passado pela consulta com o setor de Nutrição no período de janeiro de 2017 a março de 2018. Foram excluídos da pesquisa prontuários de i</w:t>
      </w:r>
      <w:r w:rsidR="0064443D" w:rsidRPr="0064443D">
        <w:rPr>
          <w:szCs w:val="24"/>
        </w:rPr>
        <w:t>ndivíduos com idade igual ou inferior a 59 anos</w:t>
      </w:r>
      <w:r w:rsidR="0064443D">
        <w:rPr>
          <w:szCs w:val="24"/>
        </w:rPr>
        <w:t>, i</w:t>
      </w:r>
      <w:r w:rsidR="0064443D" w:rsidRPr="0064443D">
        <w:rPr>
          <w:szCs w:val="24"/>
        </w:rPr>
        <w:t>ndígenas e os privados de liberdade</w:t>
      </w:r>
      <w:r w:rsidR="0064443D">
        <w:rPr>
          <w:szCs w:val="24"/>
        </w:rPr>
        <w:t>, i</w:t>
      </w:r>
      <w:r w:rsidR="0064443D" w:rsidRPr="0064443D">
        <w:rPr>
          <w:szCs w:val="24"/>
        </w:rPr>
        <w:t>ndivíduos que não deambulam (cadeirantes e acamados)</w:t>
      </w:r>
      <w:r w:rsidR="0064443D">
        <w:rPr>
          <w:szCs w:val="24"/>
        </w:rPr>
        <w:t xml:space="preserve"> e i</w:t>
      </w:r>
      <w:r w:rsidR="0064443D" w:rsidRPr="0064443D">
        <w:rPr>
          <w:szCs w:val="24"/>
        </w:rPr>
        <w:t>ndivíduos que se alimentam por via alternativa (nutrição enteral) exclusiva e/ou associada à via oral</w:t>
      </w:r>
      <w:r w:rsidR="0064443D">
        <w:rPr>
          <w:szCs w:val="24"/>
        </w:rPr>
        <w:t>.</w:t>
      </w:r>
    </w:p>
    <w:p w:rsidR="00042A0B" w:rsidRDefault="00C74616" w:rsidP="00C74616">
      <w:pPr>
        <w:spacing w:after="0"/>
        <w:contextualSpacing/>
      </w:pPr>
      <w:r>
        <w:t xml:space="preserve">Os prontuários foram avaliados individualmente identificando os indivíduos com </w:t>
      </w:r>
      <w:r w:rsidR="009440E5">
        <w:t xml:space="preserve">presença de síndrome metabólica </w:t>
      </w:r>
      <w:r>
        <w:t xml:space="preserve">e sem </w:t>
      </w:r>
      <w:r w:rsidR="009440E5">
        <w:t>presença de síndrome metabólica</w:t>
      </w:r>
      <w:r>
        <w:t>, conforme as variáveis estabelecidas nos critérios diagnósticos NCEP ATP III, IDF e JIS</w:t>
      </w:r>
      <w:r w:rsidR="009440E5">
        <w:t xml:space="preserve"> (T</w:t>
      </w:r>
      <w:r w:rsidR="003F7B1D">
        <w:t>abela</w:t>
      </w:r>
      <w:r w:rsidR="00486B08">
        <w:t xml:space="preserve"> </w:t>
      </w:r>
      <w:r w:rsidR="00042A0B">
        <w:t>3</w:t>
      </w:r>
      <w:r w:rsidR="009440E5">
        <w:t>)</w:t>
      </w:r>
      <w:r>
        <w:t xml:space="preserve">, apresentando a </w:t>
      </w:r>
      <w:r w:rsidR="009440E5">
        <w:t xml:space="preserve">frequência de síndrome metabólica </w:t>
      </w:r>
      <w:r w:rsidR="008A0990">
        <w:t>no grupo estudado.</w:t>
      </w:r>
    </w:p>
    <w:p w:rsidR="00E95A03" w:rsidRDefault="00E95A03" w:rsidP="00C74616">
      <w:pPr>
        <w:spacing w:after="0"/>
        <w:contextualSpacing/>
      </w:pPr>
    </w:p>
    <w:p w:rsidR="00E95A03" w:rsidRDefault="00E95A03" w:rsidP="00C74616">
      <w:pPr>
        <w:spacing w:after="0"/>
        <w:contextualSpacing/>
      </w:pPr>
    </w:p>
    <w:p w:rsidR="00042A0B" w:rsidRDefault="00042A0B" w:rsidP="00042A0B">
      <w:pPr>
        <w:autoSpaceDE w:val="0"/>
        <w:autoSpaceDN w:val="0"/>
        <w:adjustRightInd w:val="0"/>
        <w:spacing w:after="0" w:line="240" w:lineRule="auto"/>
        <w:ind w:firstLine="0"/>
        <w:rPr>
          <w:b/>
          <w:bCs/>
          <w:szCs w:val="24"/>
        </w:rPr>
      </w:pPr>
      <w:r>
        <w:rPr>
          <w:b/>
          <w:bCs/>
          <w:szCs w:val="24"/>
        </w:rPr>
        <w:lastRenderedPageBreak/>
        <w:t xml:space="preserve">Tabela 3. </w:t>
      </w:r>
      <w:r>
        <w:rPr>
          <w:bCs/>
          <w:szCs w:val="24"/>
        </w:rPr>
        <w:t>Critérios NCEP-ATP III, IDF e JIS para diagnóstico de Síndrome Metabólica.</w:t>
      </w:r>
    </w:p>
    <w:tbl>
      <w:tblPr>
        <w:tblStyle w:val="TabelaSimples2"/>
        <w:tblW w:w="0" w:type="auto"/>
        <w:tblLook w:val="04A0" w:firstRow="1" w:lastRow="0" w:firstColumn="1" w:lastColumn="0" w:noHBand="0" w:noVBand="1"/>
      </w:tblPr>
      <w:tblGrid>
        <w:gridCol w:w="2382"/>
        <w:gridCol w:w="1812"/>
        <w:gridCol w:w="1812"/>
        <w:gridCol w:w="2554"/>
      </w:tblGrid>
      <w:tr w:rsidR="00042A0B" w:rsidTr="00645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Borders>
              <w:top w:val="single" w:sz="4" w:space="0" w:color="7F7F7F" w:themeColor="text1" w:themeTint="80"/>
              <w:left w:val="nil"/>
              <w:right w:val="nil"/>
            </w:tcBorders>
            <w:vAlign w:val="center"/>
          </w:tcPr>
          <w:p w:rsidR="00042A0B" w:rsidRDefault="00042A0B" w:rsidP="00645690">
            <w:pPr>
              <w:spacing w:before="120" w:after="120" w:line="240" w:lineRule="auto"/>
              <w:jc w:val="center"/>
              <w:rPr>
                <w:rFonts w:cs="Times New Roman"/>
                <w:sz w:val="22"/>
              </w:rPr>
            </w:pPr>
          </w:p>
        </w:tc>
        <w:tc>
          <w:tcPr>
            <w:tcW w:w="1812" w:type="dxa"/>
            <w:tcBorders>
              <w:top w:val="single" w:sz="4" w:space="0" w:color="7F7F7F" w:themeColor="text1" w:themeTint="80"/>
              <w:left w:val="nil"/>
              <w:right w:val="nil"/>
            </w:tcBorders>
            <w:vAlign w:val="center"/>
            <w:hideMark/>
          </w:tcPr>
          <w:p w:rsidR="00042A0B" w:rsidRDefault="00042A0B" w:rsidP="00645690">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NCEP-ATPIII</w:t>
            </w:r>
          </w:p>
        </w:tc>
        <w:tc>
          <w:tcPr>
            <w:tcW w:w="1812" w:type="dxa"/>
            <w:tcBorders>
              <w:top w:val="single" w:sz="4" w:space="0" w:color="7F7F7F" w:themeColor="text1" w:themeTint="80"/>
              <w:left w:val="nil"/>
              <w:right w:val="nil"/>
            </w:tcBorders>
            <w:vAlign w:val="center"/>
            <w:hideMark/>
          </w:tcPr>
          <w:p w:rsidR="00042A0B" w:rsidRDefault="00042A0B" w:rsidP="00645690">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IDF</w:t>
            </w:r>
          </w:p>
        </w:tc>
        <w:tc>
          <w:tcPr>
            <w:tcW w:w="2554" w:type="dxa"/>
            <w:tcBorders>
              <w:top w:val="single" w:sz="4" w:space="0" w:color="7F7F7F" w:themeColor="text1" w:themeTint="80"/>
              <w:left w:val="nil"/>
              <w:right w:val="nil"/>
            </w:tcBorders>
            <w:vAlign w:val="center"/>
            <w:hideMark/>
          </w:tcPr>
          <w:p w:rsidR="00042A0B" w:rsidRDefault="00042A0B" w:rsidP="00645690">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JIS</w:t>
            </w:r>
          </w:p>
        </w:tc>
      </w:tr>
      <w:tr w:rsidR="00042A0B" w:rsidTr="00645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Borders>
              <w:left w:val="nil"/>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Pressão arterial</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130/85 mmHg</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130/85 mmHg ou tratamento de HAS</w:t>
            </w:r>
          </w:p>
        </w:tc>
        <w:tc>
          <w:tcPr>
            <w:tcW w:w="2554"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130/85 mmHg ou tratamento de HAS</w:t>
            </w:r>
          </w:p>
        </w:tc>
      </w:tr>
      <w:tr w:rsidR="00042A0B" w:rsidTr="00645690">
        <w:tc>
          <w:tcPr>
            <w:cnfStyle w:val="001000000000" w:firstRow="0" w:lastRow="0" w:firstColumn="1" w:lastColumn="0" w:oddVBand="0" w:evenVBand="0" w:oddHBand="0" w:evenHBand="0" w:firstRowFirstColumn="0" w:firstRowLastColumn="0" w:lastRowFirstColumn="0" w:lastRowLastColumn="0"/>
            <w:tcW w:w="2382" w:type="dxa"/>
            <w:tcBorders>
              <w:top w:val="nil"/>
              <w:left w:val="nil"/>
              <w:bottom w:val="nil"/>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Circunferência abdominal</w:t>
            </w:r>
          </w:p>
        </w:tc>
        <w:tc>
          <w:tcPr>
            <w:tcW w:w="1812"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 102 cm</w:t>
            </w:r>
          </w:p>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 ≥ 88 cm </w:t>
            </w:r>
          </w:p>
        </w:tc>
        <w:tc>
          <w:tcPr>
            <w:tcW w:w="1812"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 94 cm</w:t>
            </w:r>
          </w:p>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 80 cm</w:t>
            </w:r>
          </w:p>
        </w:tc>
        <w:tc>
          <w:tcPr>
            <w:tcW w:w="2554"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 94 cm</w:t>
            </w:r>
          </w:p>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 80 cm</w:t>
            </w:r>
          </w:p>
        </w:tc>
      </w:tr>
      <w:tr w:rsidR="00042A0B" w:rsidTr="00645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Borders>
              <w:left w:val="nil"/>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Glicose</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110 mg/dL</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110 mg/dL</w:t>
            </w:r>
          </w:p>
        </w:tc>
        <w:tc>
          <w:tcPr>
            <w:tcW w:w="2554"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110 mg/dL</w:t>
            </w:r>
          </w:p>
        </w:tc>
      </w:tr>
      <w:tr w:rsidR="00042A0B" w:rsidTr="00645690">
        <w:tc>
          <w:tcPr>
            <w:cnfStyle w:val="001000000000" w:firstRow="0" w:lastRow="0" w:firstColumn="1" w:lastColumn="0" w:oddVBand="0" w:evenVBand="0" w:oddHBand="0" w:evenHBand="0" w:firstRowFirstColumn="0" w:firstRowLastColumn="0" w:lastRowFirstColumn="0" w:lastRowLastColumn="0"/>
            <w:tcW w:w="2382" w:type="dxa"/>
            <w:tcBorders>
              <w:top w:val="nil"/>
              <w:left w:val="nil"/>
              <w:bottom w:val="nil"/>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Triglicerídeos</w:t>
            </w:r>
          </w:p>
        </w:tc>
        <w:tc>
          <w:tcPr>
            <w:tcW w:w="1812"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≥150 mg/dL</w:t>
            </w:r>
          </w:p>
        </w:tc>
        <w:tc>
          <w:tcPr>
            <w:tcW w:w="1812"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≥150 mg/dL</w:t>
            </w:r>
          </w:p>
        </w:tc>
        <w:tc>
          <w:tcPr>
            <w:tcW w:w="2554" w:type="dxa"/>
            <w:tcBorders>
              <w:top w:val="nil"/>
              <w:left w:val="nil"/>
              <w:bottom w:val="nil"/>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≥150 mg/dL</w:t>
            </w:r>
          </w:p>
        </w:tc>
      </w:tr>
      <w:tr w:rsidR="00042A0B" w:rsidTr="0064569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382" w:type="dxa"/>
            <w:tcBorders>
              <w:left w:val="nil"/>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HDL</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40 mg/dL</w:t>
            </w:r>
          </w:p>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50 mg/dL</w:t>
            </w:r>
          </w:p>
        </w:tc>
        <w:tc>
          <w:tcPr>
            <w:tcW w:w="1812"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40 mg/dL</w:t>
            </w:r>
          </w:p>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50 mg/dL</w:t>
            </w:r>
          </w:p>
        </w:tc>
        <w:tc>
          <w:tcPr>
            <w:tcW w:w="2554" w:type="dxa"/>
            <w:tcBorders>
              <w:left w:val="nil"/>
              <w:right w:val="nil"/>
            </w:tcBorders>
            <w:vAlign w:val="center"/>
            <w:hideMark/>
          </w:tcPr>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40 mg/dL</w:t>
            </w:r>
          </w:p>
          <w:p w:rsidR="00042A0B" w:rsidRDefault="00042A0B" w:rsidP="00645690">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&lt; 50 mg/dL</w:t>
            </w:r>
          </w:p>
        </w:tc>
      </w:tr>
      <w:tr w:rsidR="00042A0B" w:rsidTr="00645690">
        <w:tc>
          <w:tcPr>
            <w:cnfStyle w:val="001000000000" w:firstRow="0" w:lastRow="0" w:firstColumn="1" w:lastColumn="0" w:oddVBand="0" w:evenVBand="0" w:oddHBand="0" w:evenHBand="0" w:firstRowFirstColumn="0" w:firstRowLastColumn="0" w:lastRowFirstColumn="0" w:lastRowLastColumn="0"/>
            <w:tcW w:w="2382" w:type="dxa"/>
            <w:tcBorders>
              <w:top w:val="nil"/>
              <w:left w:val="nil"/>
              <w:bottom w:val="single" w:sz="4" w:space="0" w:color="7F7F7F" w:themeColor="text1" w:themeTint="80"/>
              <w:right w:val="nil"/>
            </w:tcBorders>
            <w:vAlign w:val="center"/>
            <w:hideMark/>
          </w:tcPr>
          <w:p w:rsidR="00042A0B" w:rsidRDefault="00042A0B" w:rsidP="00645690">
            <w:pPr>
              <w:spacing w:before="120" w:after="120" w:line="240" w:lineRule="auto"/>
              <w:ind w:firstLine="0"/>
              <w:jc w:val="center"/>
              <w:rPr>
                <w:rFonts w:cs="Times New Roman"/>
              </w:rPr>
            </w:pPr>
            <w:r>
              <w:rPr>
                <w:rFonts w:cs="Times New Roman"/>
              </w:rPr>
              <w:t>Critérios SM</w:t>
            </w:r>
          </w:p>
        </w:tc>
        <w:tc>
          <w:tcPr>
            <w:tcW w:w="1812" w:type="dxa"/>
            <w:tcBorders>
              <w:top w:val="nil"/>
              <w:left w:val="nil"/>
              <w:bottom w:val="single" w:sz="4" w:space="0" w:color="7F7F7F" w:themeColor="text1" w:themeTint="80"/>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 ou mais componentes</w:t>
            </w:r>
          </w:p>
        </w:tc>
        <w:tc>
          <w:tcPr>
            <w:tcW w:w="1812" w:type="dxa"/>
            <w:tcBorders>
              <w:top w:val="nil"/>
              <w:left w:val="nil"/>
              <w:bottom w:val="single" w:sz="4" w:space="0" w:color="7F7F7F" w:themeColor="text1" w:themeTint="80"/>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CA mais 2 componentes</w:t>
            </w:r>
          </w:p>
        </w:tc>
        <w:tc>
          <w:tcPr>
            <w:tcW w:w="2554" w:type="dxa"/>
            <w:tcBorders>
              <w:top w:val="nil"/>
              <w:left w:val="nil"/>
              <w:bottom w:val="single" w:sz="4" w:space="0" w:color="7F7F7F" w:themeColor="text1" w:themeTint="80"/>
              <w:right w:val="nil"/>
            </w:tcBorders>
            <w:vAlign w:val="center"/>
            <w:hideMark/>
          </w:tcPr>
          <w:p w:rsidR="00042A0B" w:rsidRDefault="00042A0B" w:rsidP="00645690">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 ou mais componentes</w:t>
            </w:r>
          </w:p>
        </w:tc>
      </w:tr>
    </w:tbl>
    <w:p w:rsidR="00042A0B" w:rsidRDefault="00042A0B" w:rsidP="00042A0B">
      <w:pPr>
        <w:spacing w:after="0" w:line="240" w:lineRule="auto"/>
        <w:ind w:right="566" w:firstLine="0"/>
        <w:contextualSpacing/>
        <w:rPr>
          <w:sz w:val="20"/>
        </w:rPr>
      </w:pPr>
      <w:r>
        <w:rPr>
          <w:b/>
          <w:sz w:val="20"/>
        </w:rPr>
        <w:t>NCEP-ATPIII:</w:t>
      </w:r>
      <w:r>
        <w:rPr>
          <w:sz w:val="20"/>
        </w:rPr>
        <w:t xml:space="preserve"> </w:t>
      </w:r>
      <w:r w:rsidRPr="00632A38">
        <w:rPr>
          <w:sz w:val="20"/>
        </w:rPr>
        <w:t>National Cholesterol</w:t>
      </w:r>
      <w:r>
        <w:rPr>
          <w:sz w:val="20"/>
        </w:rPr>
        <w:t xml:space="preserve"> </w:t>
      </w:r>
      <w:r w:rsidRPr="00632A38">
        <w:rPr>
          <w:sz w:val="20"/>
        </w:rPr>
        <w:t>Education Program’s Adult Treatment Panel I</w:t>
      </w:r>
      <w:r>
        <w:rPr>
          <w:sz w:val="20"/>
        </w:rPr>
        <w:t>I</w:t>
      </w:r>
      <w:r w:rsidRPr="00632A38">
        <w:rPr>
          <w:sz w:val="20"/>
        </w:rPr>
        <w:t>I</w:t>
      </w:r>
      <w:r>
        <w:rPr>
          <w:sz w:val="20"/>
        </w:rPr>
        <w:t xml:space="preserve">; </w:t>
      </w:r>
      <w:r>
        <w:rPr>
          <w:b/>
          <w:sz w:val="20"/>
        </w:rPr>
        <w:t>IDF:</w:t>
      </w:r>
      <w:r>
        <w:rPr>
          <w:sz w:val="20"/>
        </w:rPr>
        <w:t xml:space="preserve"> Federação Internacional de Diabetes; </w:t>
      </w:r>
      <w:r w:rsidRPr="001E44B5">
        <w:rPr>
          <w:b/>
          <w:sz w:val="20"/>
        </w:rPr>
        <w:t>JIS:</w:t>
      </w:r>
      <w:r>
        <w:rPr>
          <w:sz w:val="20"/>
        </w:rPr>
        <w:t xml:space="preserve"> Joint Interim Statement; </w:t>
      </w:r>
      <w:r>
        <w:rPr>
          <w:b/>
          <w:sz w:val="20"/>
        </w:rPr>
        <w:t>HAS:</w:t>
      </w:r>
      <w:r>
        <w:rPr>
          <w:sz w:val="20"/>
        </w:rPr>
        <w:t xml:space="preserve"> Hipertensão Arterial Sistêmica; </w:t>
      </w:r>
      <w:r>
        <w:rPr>
          <w:b/>
          <w:sz w:val="20"/>
        </w:rPr>
        <w:t>HDL:</w:t>
      </w:r>
      <w:r>
        <w:rPr>
          <w:sz w:val="20"/>
        </w:rPr>
        <w:t xml:space="preserve"> high density lipoprotein; </w:t>
      </w:r>
      <w:r w:rsidRPr="001E44B5">
        <w:rPr>
          <w:b/>
          <w:sz w:val="20"/>
        </w:rPr>
        <w:t>♂:</w:t>
      </w:r>
      <w:r>
        <w:rPr>
          <w:sz w:val="20"/>
        </w:rPr>
        <w:t xml:space="preserve"> masculino; </w:t>
      </w:r>
      <w:r w:rsidRPr="001E44B5">
        <w:rPr>
          <w:b/>
          <w:sz w:val="20"/>
        </w:rPr>
        <w:t>♀:</w:t>
      </w:r>
      <w:r>
        <w:rPr>
          <w:sz w:val="20"/>
        </w:rPr>
        <w:t xml:space="preserve"> feminino.</w:t>
      </w:r>
    </w:p>
    <w:p w:rsidR="00B91742" w:rsidRDefault="00B91742" w:rsidP="009440E5">
      <w:pPr>
        <w:spacing w:after="0"/>
        <w:contextualSpacing/>
      </w:pPr>
    </w:p>
    <w:p w:rsidR="009440E5" w:rsidRDefault="009440E5" w:rsidP="009440E5">
      <w:pPr>
        <w:spacing w:after="0"/>
        <w:contextualSpacing/>
      </w:pPr>
      <w:r>
        <w:t xml:space="preserve">A pesquisa considerou </w:t>
      </w:r>
      <w:r w:rsidR="00F3380E">
        <w:t xml:space="preserve">os </w:t>
      </w:r>
      <w:r>
        <w:t xml:space="preserve">critérios </w:t>
      </w:r>
      <w:r w:rsidR="00F3380E" w:rsidRPr="00A93817">
        <w:rPr>
          <w:szCs w:val="24"/>
        </w:rPr>
        <w:t>National Cholesterol Education</w:t>
      </w:r>
      <w:r w:rsidR="00F3380E">
        <w:rPr>
          <w:szCs w:val="24"/>
        </w:rPr>
        <w:t xml:space="preserve"> </w:t>
      </w:r>
      <w:r w:rsidR="00F3380E" w:rsidRPr="00A93817">
        <w:rPr>
          <w:szCs w:val="24"/>
        </w:rPr>
        <w:t>Program’s Adult Tre</w:t>
      </w:r>
      <w:r w:rsidR="00F3380E">
        <w:rPr>
          <w:szCs w:val="24"/>
        </w:rPr>
        <w:t xml:space="preserve">atment Panel III (NCEP-ATPIII), </w:t>
      </w:r>
      <w:r w:rsidR="00F3380E" w:rsidRPr="00A93817">
        <w:rPr>
          <w:szCs w:val="24"/>
        </w:rPr>
        <w:t>International Diabetes Federation (IDF)</w:t>
      </w:r>
      <w:r w:rsidR="00F3380E">
        <w:rPr>
          <w:szCs w:val="24"/>
        </w:rPr>
        <w:t xml:space="preserve"> e </w:t>
      </w:r>
      <w:r w:rsidR="00F3380E" w:rsidRPr="00C06B10">
        <w:rPr>
          <w:szCs w:val="24"/>
        </w:rPr>
        <w:t>Joint Interim Statement</w:t>
      </w:r>
      <w:r w:rsidR="00F3380E">
        <w:rPr>
          <w:szCs w:val="24"/>
        </w:rPr>
        <w:t xml:space="preserve"> (JIS)</w:t>
      </w:r>
      <w:r>
        <w:t xml:space="preserve"> por serem os mais </w:t>
      </w:r>
      <w:r w:rsidR="00F3380E">
        <w:t>utilizados,</w:t>
      </w:r>
      <w:r>
        <w:t xml:space="preserve"> de acordo com a literatura.</w:t>
      </w:r>
    </w:p>
    <w:p w:rsidR="00A63576" w:rsidRDefault="00A63576" w:rsidP="00A63576">
      <w:pPr>
        <w:spacing w:after="0"/>
        <w:contextualSpacing/>
      </w:pPr>
      <w:r>
        <w:t>Os dados</w:t>
      </w:r>
      <w:r w:rsidR="00B2390D">
        <w:t xml:space="preserve"> obtidos</w:t>
      </w:r>
      <w:r>
        <w:t xml:space="preserve"> foram organizados e analisados através</w:t>
      </w:r>
      <w:r w:rsidR="00B2390D">
        <w:t xml:space="preserve"> da planilha Microsoft Excel® e a avaliação estatística foi realizada pelo</w:t>
      </w:r>
      <w:r>
        <w:t xml:space="preserve"> software SPSS (Statistical Package for the Social Sciences) versão 18.0</w:t>
      </w:r>
      <w:r w:rsidR="00B2390D">
        <w:t xml:space="preserve">, através da análise descritiva dos resultados </w:t>
      </w:r>
      <w:r>
        <w:t xml:space="preserve">por meio da média ± desvio padrão (DP) para as variáveis contínuas. As variáveis estudadas </w:t>
      </w:r>
      <w:r w:rsidR="00B2079A">
        <w:t>foram</w:t>
      </w:r>
      <w:r>
        <w:t xml:space="preserve"> testadas em relação à sua normalidade para escolha do</w:t>
      </w:r>
      <w:r w:rsidR="00B91742">
        <w:t xml:space="preserve"> </w:t>
      </w:r>
      <w:r>
        <w:t>(s) teste</w:t>
      </w:r>
      <w:r w:rsidR="00B91742">
        <w:t xml:space="preserve"> </w:t>
      </w:r>
      <w:r>
        <w:t>(s) estatístico</w:t>
      </w:r>
      <w:r w:rsidR="00B91742">
        <w:t xml:space="preserve"> </w:t>
      </w:r>
      <w:r>
        <w:t>(s) mais apropriado</w:t>
      </w:r>
      <w:r w:rsidR="00B91742">
        <w:t xml:space="preserve"> </w:t>
      </w:r>
      <w:r>
        <w:t>(s), considerando um nível de 5% de significância (p &lt; 0,05).</w:t>
      </w:r>
    </w:p>
    <w:p w:rsidR="00002B97" w:rsidRPr="00002B97" w:rsidRDefault="00002B97" w:rsidP="00002B97">
      <w:pPr>
        <w:spacing w:after="0"/>
        <w:rPr>
          <w:b/>
        </w:rPr>
      </w:pPr>
    </w:p>
    <w:p w:rsidR="005C382A" w:rsidRPr="00344A32" w:rsidRDefault="005C382A" w:rsidP="00344A32">
      <w:pPr>
        <w:pStyle w:val="PargrafodaLista"/>
        <w:numPr>
          <w:ilvl w:val="0"/>
          <w:numId w:val="8"/>
        </w:numPr>
        <w:spacing w:after="0"/>
        <w:rPr>
          <w:b/>
        </w:rPr>
      </w:pPr>
      <w:r w:rsidRPr="00344A32">
        <w:rPr>
          <w:b/>
        </w:rPr>
        <w:t>RESULTADO</w:t>
      </w:r>
      <w:r w:rsidR="00C74616" w:rsidRPr="00344A32">
        <w:rPr>
          <w:b/>
        </w:rPr>
        <w:t>S</w:t>
      </w:r>
      <w:r w:rsidR="00344A32" w:rsidRPr="00344A32">
        <w:rPr>
          <w:b/>
        </w:rPr>
        <w:t xml:space="preserve"> </w:t>
      </w:r>
    </w:p>
    <w:p w:rsidR="0083449B" w:rsidRDefault="0083449B" w:rsidP="00895AE0">
      <w:pPr>
        <w:spacing w:after="0"/>
        <w:rPr>
          <w:bCs/>
          <w:szCs w:val="24"/>
        </w:rPr>
      </w:pPr>
    </w:p>
    <w:p w:rsidR="0083449B" w:rsidRPr="00B65A3D" w:rsidRDefault="0083449B" w:rsidP="0083449B">
      <w:pPr>
        <w:spacing w:after="0"/>
        <w:rPr>
          <w:bCs/>
          <w:szCs w:val="24"/>
        </w:rPr>
      </w:pPr>
      <w:r w:rsidRPr="00B65A3D">
        <w:rPr>
          <w:bCs/>
          <w:szCs w:val="24"/>
        </w:rPr>
        <w:t xml:space="preserve">Foram investigados </w:t>
      </w:r>
      <w:r>
        <w:rPr>
          <w:bCs/>
          <w:szCs w:val="24"/>
        </w:rPr>
        <w:t>36 prontuários</w:t>
      </w:r>
      <w:r w:rsidRPr="00B65A3D">
        <w:rPr>
          <w:bCs/>
          <w:szCs w:val="24"/>
        </w:rPr>
        <w:t xml:space="preserve"> os quais estavam com os dados completos para aferição do desfecho avaliado</w:t>
      </w:r>
      <w:r>
        <w:rPr>
          <w:bCs/>
          <w:szCs w:val="24"/>
        </w:rPr>
        <w:t>, considerando os critérios de inclusão e exclusão da pesquisa</w:t>
      </w:r>
      <w:r w:rsidRPr="00B65A3D">
        <w:rPr>
          <w:bCs/>
          <w:szCs w:val="24"/>
        </w:rPr>
        <w:t>. Destes 61,11% (n=22) eram do sexo feminino</w:t>
      </w:r>
      <w:r>
        <w:rPr>
          <w:bCs/>
          <w:szCs w:val="24"/>
        </w:rPr>
        <w:t xml:space="preserve"> e</w:t>
      </w:r>
      <w:r w:rsidRPr="00B65A3D">
        <w:rPr>
          <w:bCs/>
          <w:szCs w:val="24"/>
        </w:rPr>
        <w:t xml:space="preserve"> 38,89 (n=14) do sexo masculino. </w:t>
      </w:r>
    </w:p>
    <w:p w:rsidR="0083449B" w:rsidRPr="00B65A3D" w:rsidRDefault="0083449B" w:rsidP="0083449B">
      <w:pPr>
        <w:spacing w:after="0"/>
        <w:rPr>
          <w:bCs/>
          <w:szCs w:val="24"/>
        </w:rPr>
      </w:pPr>
      <w:r w:rsidRPr="00B65A3D">
        <w:rPr>
          <w:bCs/>
          <w:szCs w:val="24"/>
        </w:rPr>
        <w:t>Quanto a idade</w:t>
      </w:r>
      <w:r>
        <w:rPr>
          <w:bCs/>
          <w:szCs w:val="24"/>
        </w:rPr>
        <w:t>,</w:t>
      </w:r>
      <w:r w:rsidRPr="00B65A3D">
        <w:rPr>
          <w:bCs/>
          <w:szCs w:val="24"/>
        </w:rPr>
        <w:t xml:space="preserve"> os participante</w:t>
      </w:r>
      <w:r>
        <w:rPr>
          <w:bCs/>
          <w:szCs w:val="24"/>
        </w:rPr>
        <w:t>s</w:t>
      </w:r>
      <w:r w:rsidRPr="00B65A3D">
        <w:rPr>
          <w:bCs/>
          <w:szCs w:val="24"/>
        </w:rPr>
        <w:t xml:space="preserve"> apresentaram idade entre 61 (mínimo) e 89 anos (máximo). A média de idade dos </w:t>
      </w:r>
      <w:r>
        <w:rPr>
          <w:bCs/>
          <w:szCs w:val="24"/>
        </w:rPr>
        <w:t xml:space="preserve">indivíduos </w:t>
      </w:r>
      <w:r w:rsidRPr="00B65A3D">
        <w:rPr>
          <w:bCs/>
          <w:szCs w:val="24"/>
        </w:rPr>
        <w:t xml:space="preserve">avaliados foi de 66,95 (anos) ± 21,03 (desvio </w:t>
      </w:r>
      <w:r w:rsidRPr="00B65A3D">
        <w:rPr>
          <w:bCs/>
          <w:szCs w:val="24"/>
        </w:rPr>
        <w:lastRenderedPageBreak/>
        <w:t>padrão). Quanto a distribuição por sexo</w:t>
      </w:r>
      <w:r>
        <w:rPr>
          <w:bCs/>
          <w:szCs w:val="24"/>
        </w:rPr>
        <w:t>,</w:t>
      </w:r>
      <w:r w:rsidRPr="00B65A3D">
        <w:rPr>
          <w:bCs/>
          <w:szCs w:val="24"/>
        </w:rPr>
        <w:t xml:space="preserve"> observou que as idosas tinha</w:t>
      </w:r>
      <w:r>
        <w:rPr>
          <w:bCs/>
          <w:szCs w:val="24"/>
        </w:rPr>
        <w:t>m a média</w:t>
      </w:r>
      <w:r w:rsidRPr="00B65A3D">
        <w:rPr>
          <w:bCs/>
          <w:szCs w:val="24"/>
        </w:rPr>
        <w:t xml:space="preserve"> de idade </w:t>
      </w:r>
      <w:r>
        <w:rPr>
          <w:bCs/>
          <w:szCs w:val="24"/>
        </w:rPr>
        <w:t xml:space="preserve">de </w:t>
      </w:r>
      <w:r w:rsidRPr="00B65A3D">
        <w:rPr>
          <w:bCs/>
          <w:szCs w:val="24"/>
        </w:rPr>
        <w:t>71,86</w:t>
      </w:r>
      <w:r>
        <w:rPr>
          <w:bCs/>
          <w:szCs w:val="24"/>
        </w:rPr>
        <w:t xml:space="preserve"> anos</w:t>
      </w:r>
      <w:r w:rsidRPr="00B65A3D">
        <w:rPr>
          <w:bCs/>
          <w:szCs w:val="24"/>
        </w:rPr>
        <w:t xml:space="preserve"> ± 7,51</w:t>
      </w:r>
      <w:r>
        <w:rPr>
          <w:bCs/>
          <w:szCs w:val="24"/>
        </w:rPr>
        <w:t xml:space="preserve"> </w:t>
      </w:r>
      <w:r w:rsidRPr="00B65A3D">
        <w:rPr>
          <w:bCs/>
          <w:szCs w:val="24"/>
        </w:rPr>
        <w:t xml:space="preserve">(desvio padrão) e os idosos 73,57 </w:t>
      </w:r>
      <w:r>
        <w:rPr>
          <w:bCs/>
          <w:szCs w:val="24"/>
        </w:rPr>
        <w:t>anos</w:t>
      </w:r>
      <w:r w:rsidRPr="00B65A3D">
        <w:rPr>
          <w:bCs/>
          <w:szCs w:val="24"/>
        </w:rPr>
        <w:t xml:space="preserve"> ± 8,91 (desvio padrão). </w:t>
      </w:r>
    </w:p>
    <w:p w:rsidR="0083449B" w:rsidRDefault="0083449B" w:rsidP="0083449B">
      <w:pPr>
        <w:shd w:val="clear" w:color="auto" w:fill="FFFFFF" w:themeFill="background1"/>
        <w:spacing w:after="0"/>
        <w:ind w:firstLine="708"/>
        <w:rPr>
          <w:bCs/>
          <w:szCs w:val="24"/>
        </w:rPr>
      </w:pPr>
      <w:r>
        <w:rPr>
          <w:szCs w:val="24"/>
        </w:rPr>
        <w:t xml:space="preserve">Quanto a classificação do nível de atividade física, apenas 17 indivíduos realizam algum tipo de atividade, sendo 76,50% do público feminino e 23,50% masculino, destacando-se </w:t>
      </w:r>
      <w:r>
        <w:rPr>
          <w:bCs/>
          <w:szCs w:val="24"/>
        </w:rPr>
        <w:t>caminhada, alongamento, ginástica, aer</w:t>
      </w:r>
      <w:r w:rsidR="00CF2B8C">
        <w:rPr>
          <w:bCs/>
          <w:szCs w:val="24"/>
        </w:rPr>
        <w:t>óbico e hidroginástica (Figura 1</w:t>
      </w:r>
      <w:r>
        <w:rPr>
          <w:bCs/>
          <w:szCs w:val="24"/>
        </w:rPr>
        <w:t>).</w:t>
      </w:r>
    </w:p>
    <w:p w:rsidR="0083449B" w:rsidRDefault="0083449B" w:rsidP="0083449B">
      <w:pPr>
        <w:spacing w:after="0" w:line="240" w:lineRule="auto"/>
        <w:ind w:left="1134" w:right="991" w:firstLine="0"/>
        <w:rPr>
          <w:bCs/>
          <w:szCs w:val="24"/>
        </w:rPr>
      </w:pPr>
      <w:r w:rsidRPr="00EF4072">
        <w:rPr>
          <w:b/>
          <w:bCs/>
          <w:szCs w:val="24"/>
        </w:rPr>
        <w:t xml:space="preserve">Figura </w:t>
      </w:r>
      <w:r w:rsidR="00CF2B8C">
        <w:rPr>
          <w:b/>
          <w:bCs/>
          <w:szCs w:val="24"/>
        </w:rPr>
        <w:t>1</w:t>
      </w:r>
      <w:r>
        <w:rPr>
          <w:bCs/>
          <w:szCs w:val="24"/>
        </w:rPr>
        <w:t xml:space="preserve"> –</w:t>
      </w:r>
      <w:r w:rsidRPr="00314FF4">
        <w:rPr>
          <w:bCs/>
          <w:szCs w:val="24"/>
        </w:rPr>
        <w:t xml:space="preserve"> </w:t>
      </w:r>
      <w:r w:rsidR="00EF6A2C">
        <w:rPr>
          <w:bCs/>
          <w:szCs w:val="24"/>
        </w:rPr>
        <w:t xml:space="preserve">Número de praticantes de </w:t>
      </w:r>
      <w:r>
        <w:rPr>
          <w:bCs/>
          <w:szCs w:val="24"/>
        </w:rPr>
        <w:t>atividade física separados p</w:t>
      </w:r>
      <w:r w:rsidRPr="00314FF4">
        <w:rPr>
          <w:bCs/>
          <w:szCs w:val="24"/>
        </w:rPr>
        <w:t xml:space="preserve">or </w:t>
      </w:r>
      <w:r>
        <w:rPr>
          <w:bCs/>
          <w:szCs w:val="24"/>
        </w:rPr>
        <w:t>sexo em uma Unidade Ambulatorial em Campo Grande – MS, 2018.</w:t>
      </w:r>
    </w:p>
    <w:p w:rsidR="007667EB" w:rsidRDefault="0083449B" w:rsidP="007667EB">
      <w:pPr>
        <w:spacing w:after="0"/>
        <w:ind w:firstLine="0"/>
        <w:jc w:val="center"/>
        <w:rPr>
          <w:b/>
          <w:bCs/>
          <w:sz w:val="20"/>
          <w:szCs w:val="20"/>
        </w:rPr>
      </w:pPr>
      <w:r>
        <w:rPr>
          <w:noProof/>
          <w:lang w:eastAsia="pt-BR"/>
        </w:rPr>
        <w:drawing>
          <wp:inline distT="0" distB="0" distL="0" distR="0" wp14:anchorId="21EC3F74" wp14:editId="7F4B087F">
            <wp:extent cx="4410075" cy="2303145"/>
            <wp:effectExtent l="0" t="0" r="9525" b="19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449B" w:rsidRDefault="0083449B" w:rsidP="007667EB">
      <w:pPr>
        <w:spacing w:after="0"/>
        <w:ind w:left="708" w:firstLine="426"/>
        <w:rPr>
          <w:bCs/>
          <w:sz w:val="20"/>
          <w:szCs w:val="20"/>
        </w:rPr>
      </w:pPr>
      <w:r w:rsidRPr="00D42460">
        <w:rPr>
          <w:b/>
          <w:bCs/>
          <w:sz w:val="20"/>
          <w:szCs w:val="20"/>
        </w:rPr>
        <w:t>Fonte:</w:t>
      </w:r>
      <w:r>
        <w:rPr>
          <w:bCs/>
          <w:sz w:val="20"/>
          <w:szCs w:val="20"/>
        </w:rPr>
        <w:t xml:space="preserve"> Pesquisa de campo.</w:t>
      </w:r>
    </w:p>
    <w:p w:rsidR="008A0990" w:rsidRDefault="008A0990" w:rsidP="007667EB">
      <w:pPr>
        <w:spacing w:after="0"/>
        <w:ind w:left="708" w:firstLine="426"/>
        <w:rPr>
          <w:bCs/>
          <w:szCs w:val="24"/>
        </w:rPr>
      </w:pPr>
    </w:p>
    <w:p w:rsidR="0083449B" w:rsidRDefault="0083449B" w:rsidP="0083449B">
      <w:pPr>
        <w:shd w:val="clear" w:color="auto" w:fill="FFFFFF" w:themeFill="background1"/>
        <w:spacing w:after="0"/>
        <w:ind w:firstLine="708"/>
        <w:rPr>
          <w:bCs/>
          <w:szCs w:val="24"/>
        </w:rPr>
      </w:pPr>
      <w:r>
        <w:rPr>
          <w:bCs/>
          <w:szCs w:val="24"/>
        </w:rPr>
        <w:t>Quanto aos hábitos alimentares, 30,36% realizam 3 refeições ou menos ao dia, 25% realizam 4 e 5 refeições ao dia, respectivamente, e apenas 11,11% realizam 6 refeições ou mais ao dia.</w:t>
      </w:r>
    </w:p>
    <w:p w:rsidR="0083449B" w:rsidRDefault="0083449B" w:rsidP="0083449B">
      <w:pPr>
        <w:shd w:val="clear" w:color="auto" w:fill="FFFFFF" w:themeFill="background1"/>
        <w:spacing w:after="0"/>
        <w:ind w:firstLine="708"/>
        <w:rPr>
          <w:bCs/>
          <w:szCs w:val="24"/>
        </w:rPr>
      </w:pPr>
      <w:r>
        <w:rPr>
          <w:bCs/>
          <w:szCs w:val="24"/>
        </w:rPr>
        <w:t>Para o controle de comorbidades (DM e HAS), observa-se que 58% não realizam e/ou não precisam realizar o controle glicêmico, 25% realizam controle glicêmico e 17% dos prontuários estavam sem resposta. Para o controle pressórico, 61% realizam o controle, 22% não realizam e/ou não precisam realizar o controle e 17% dos prontuários estavam sem resposta.</w:t>
      </w:r>
    </w:p>
    <w:p w:rsidR="0083449B" w:rsidRDefault="0083449B" w:rsidP="0083449B">
      <w:pPr>
        <w:shd w:val="clear" w:color="auto" w:fill="FFFFFF" w:themeFill="background1"/>
        <w:spacing w:after="0"/>
        <w:ind w:firstLine="708"/>
        <w:rPr>
          <w:bCs/>
          <w:szCs w:val="24"/>
        </w:rPr>
      </w:pPr>
      <w:r>
        <w:rPr>
          <w:bCs/>
          <w:szCs w:val="24"/>
        </w:rPr>
        <w:t>Quanto a prevalência de comorbidades presentes nos idosos avaliados, destaca-se a hipertensão arterial sistêmica com 66,67%, seguido de outros com 44,44% (como depressão, hipotireoidismo, ansiedade e osteoporose), diabetes mellitus 27,78%, cardiopatia e dislipidemia 16,67% e hipertrigliceridemia e hipercolesterolemia 13,89%.</w:t>
      </w:r>
    </w:p>
    <w:p w:rsidR="0083449B" w:rsidRDefault="00592189" w:rsidP="0083449B">
      <w:pPr>
        <w:shd w:val="clear" w:color="auto" w:fill="FFFFFF" w:themeFill="background1"/>
        <w:spacing w:after="0"/>
        <w:ind w:firstLine="708"/>
        <w:rPr>
          <w:bCs/>
          <w:szCs w:val="24"/>
        </w:rPr>
      </w:pPr>
      <w:r>
        <w:rPr>
          <w:bCs/>
          <w:szCs w:val="24"/>
        </w:rPr>
        <w:t>Quanto a</w:t>
      </w:r>
      <w:r w:rsidR="0083449B">
        <w:rPr>
          <w:bCs/>
          <w:szCs w:val="24"/>
        </w:rPr>
        <w:t>o tratamento das comorbidades</w:t>
      </w:r>
      <w:r>
        <w:rPr>
          <w:bCs/>
          <w:szCs w:val="24"/>
        </w:rPr>
        <w:t>,</w:t>
      </w:r>
      <w:r w:rsidR="0083449B">
        <w:rPr>
          <w:bCs/>
          <w:szCs w:val="24"/>
        </w:rPr>
        <w:t xml:space="preserve"> 83% realizam tratamento medicamentoso e 17% não realizam e/ou não precisam tratar suas comorbidades através de medicamentos.</w:t>
      </w:r>
    </w:p>
    <w:p w:rsidR="0083449B" w:rsidRDefault="0083449B" w:rsidP="0083449B">
      <w:pPr>
        <w:shd w:val="clear" w:color="auto" w:fill="FFFFFF" w:themeFill="background1"/>
        <w:spacing w:after="0"/>
        <w:ind w:firstLine="708"/>
        <w:rPr>
          <w:bCs/>
          <w:szCs w:val="24"/>
        </w:rPr>
      </w:pPr>
      <w:r>
        <w:rPr>
          <w:bCs/>
          <w:szCs w:val="24"/>
        </w:rPr>
        <w:t xml:space="preserve">Quanto aos dados antropométricos e laboratoriais, a média de peso da população estudada foi de 72,37 Kg ± 13,26 (p = 0,0093), IMC 28,78 Kg/m² ± 6,08 (p = 0,0046), glicemia </w:t>
      </w:r>
      <w:r>
        <w:rPr>
          <w:bCs/>
          <w:szCs w:val="24"/>
        </w:rPr>
        <w:lastRenderedPageBreak/>
        <w:t>110,39 mg/dL ± 17,861 (p = 0,0068), HDL 51,02 mg/dL ± 15,945 (p = 0,007) e triglicerídeos 115,92 mg/dL ± 61,484 (p = 0,0329), sendo significativos estatisticamente.</w:t>
      </w:r>
    </w:p>
    <w:p w:rsidR="0083449B" w:rsidRDefault="00CF2B8C" w:rsidP="0083449B">
      <w:pPr>
        <w:spacing w:after="0"/>
        <w:rPr>
          <w:bCs/>
          <w:szCs w:val="24"/>
        </w:rPr>
      </w:pPr>
      <w:r>
        <w:rPr>
          <w:bCs/>
          <w:szCs w:val="24"/>
        </w:rPr>
        <w:t>Na tabela 4</w:t>
      </w:r>
      <w:r w:rsidR="0083449B" w:rsidRPr="00162074">
        <w:rPr>
          <w:bCs/>
          <w:szCs w:val="24"/>
        </w:rPr>
        <w:t xml:space="preserve">, </w:t>
      </w:r>
      <w:r w:rsidR="0083449B">
        <w:rPr>
          <w:bCs/>
          <w:szCs w:val="24"/>
        </w:rPr>
        <w:t>observa</w:t>
      </w:r>
      <w:r w:rsidR="0083449B" w:rsidRPr="00162074">
        <w:rPr>
          <w:bCs/>
          <w:szCs w:val="24"/>
        </w:rPr>
        <w:t xml:space="preserve">-se a média dos componentes da SM avaliados por </w:t>
      </w:r>
      <w:r w:rsidR="00592189">
        <w:rPr>
          <w:bCs/>
          <w:szCs w:val="24"/>
        </w:rPr>
        <w:t>sexo</w:t>
      </w:r>
      <w:r w:rsidR="0083449B" w:rsidRPr="00162074">
        <w:rPr>
          <w:bCs/>
          <w:szCs w:val="24"/>
        </w:rPr>
        <w:t>.</w:t>
      </w:r>
    </w:p>
    <w:p w:rsidR="0083449B" w:rsidRPr="003F7B1D" w:rsidRDefault="00CF2B8C" w:rsidP="0083449B">
      <w:pPr>
        <w:spacing w:after="0"/>
        <w:ind w:firstLine="0"/>
        <w:rPr>
          <w:szCs w:val="24"/>
        </w:rPr>
      </w:pPr>
      <w:r>
        <w:rPr>
          <w:b/>
          <w:bCs/>
          <w:szCs w:val="24"/>
        </w:rPr>
        <w:t>Tabela 4</w:t>
      </w:r>
      <w:r w:rsidR="0083449B">
        <w:rPr>
          <w:b/>
          <w:bCs/>
          <w:szCs w:val="24"/>
        </w:rPr>
        <w:t xml:space="preserve">. </w:t>
      </w:r>
      <w:r w:rsidR="0083449B">
        <w:rPr>
          <w:bCs/>
          <w:szCs w:val="24"/>
        </w:rPr>
        <w:t xml:space="preserve">Componentes da síndrome metabólica de acordo com o </w:t>
      </w:r>
      <w:r w:rsidR="00592189">
        <w:rPr>
          <w:bCs/>
          <w:szCs w:val="24"/>
        </w:rPr>
        <w:t>sexo</w:t>
      </w:r>
      <w:r w:rsidR="0083449B" w:rsidRPr="006145A3">
        <w:rPr>
          <w:bCs/>
          <w:szCs w:val="24"/>
        </w:rPr>
        <w:t xml:space="preserve"> </w:t>
      </w:r>
      <w:r w:rsidR="0083449B">
        <w:rPr>
          <w:bCs/>
          <w:szCs w:val="24"/>
        </w:rPr>
        <w:t>em uma Unidade Ambulatorial em Campo Grande – MS, 2018.</w:t>
      </w:r>
    </w:p>
    <w:tbl>
      <w:tblPr>
        <w:tblStyle w:val="TabelaSimples2"/>
        <w:tblW w:w="0" w:type="auto"/>
        <w:tblLook w:val="04A0" w:firstRow="1" w:lastRow="0" w:firstColumn="1" w:lastColumn="0" w:noHBand="0" w:noVBand="1"/>
      </w:tblPr>
      <w:tblGrid>
        <w:gridCol w:w="2123"/>
        <w:gridCol w:w="2123"/>
        <w:gridCol w:w="2275"/>
        <w:gridCol w:w="1973"/>
      </w:tblGrid>
      <w:tr w:rsidR="0083449B" w:rsidRPr="00EE00F6" w:rsidTr="005B5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vMerge w:val="restart"/>
            <w:tcBorders>
              <w:top w:val="single" w:sz="4" w:space="0" w:color="7F7F7F" w:themeColor="text1" w:themeTint="80"/>
              <w:left w:val="nil"/>
              <w:right w:val="nil"/>
            </w:tcBorders>
            <w:vAlign w:val="center"/>
          </w:tcPr>
          <w:p w:rsidR="0083449B" w:rsidRPr="00EE00F6" w:rsidRDefault="0083449B" w:rsidP="005B54DD">
            <w:pPr>
              <w:spacing w:before="120" w:after="120" w:line="240" w:lineRule="auto"/>
              <w:ind w:firstLine="0"/>
              <w:jc w:val="center"/>
              <w:rPr>
                <w:bCs w:val="0"/>
                <w:szCs w:val="20"/>
              </w:rPr>
            </w:pPr>
          </w:p>
        </w:tc>
        <w:tc>
          <w:tcPr>
            <w:tcW w:w="2123" w:type="dxa"/>
            <w:tcBorders>
              <w:top w:val="single" w:sz="4" w:space="0" w:color="7F7F7F" w:themeColor="text1" w:themeTint="80"/>
              <w:left w:val="nil"/>
              <w:right w:val="nil"/>
            </w:tcBorders>
            <w:vAlign w:val="center"/>
            <w:hideMark/>
          </w:tcPr>
          <w:p w:rsidR="0083449B" w:rsidRPr="00EE00F6" w:rsidRDefault="0083449B" w:rsidP="005B54DD">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Cs w:val="20"/>
              </w:rPr>
            </w:pPr>
            <w:r w:rsidRPr="00EE00F6">
              <w:rPr>
                <w:bCs w:val="0"/>
                <w:szCs w:val="20"/>
              </w:rPr>
              <w:t>Feminino (n = 22)</w:t>
            </w:r>
          </w:p>
        </w:tc>
        <w:tc>
          <w:tcPr>
            <w:tcW w:w="2275" w:type="dxa"/>
            <w:tcBorders>
              <w:top w:val="single" w:sz="4" w:space="0" w:color="7F7F7F" w:themeColor="text1" w:themeTint="80"/>
              <w:left w:val="nil"/>
              <w:right w:val="nil"/>
            </w:tcBorders>
            <w:vAlign w:val="center"/>
            <w:hideMark/>
          </w:tcPr>
          <w:p w:rsidR="0083449B" w:rsidRPr="00EE00F6" w:rsidRDefault="0083449B" w:rsidP="005B54DD">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Cs w:val="20"/>
              </w:rPr>
            </w:pPr>
            <w:r w:rsidRPr="00EE00F6">
              <w:rPr>
                <w:bCs w:val="0"/>
                <w:szCs w:val="20"/>
              </w:rPr>
              <w:t>Masculino (n = 14)</w:t>
            </w:r>
          </w:p>
        </w:tc>
        <w:tc>
          <w:tcPr>
            <w:tcW w:w="1973" w:type="dxa"/>
            <w:vMerge w:val="restart"/>
            <w:tcBorders>
              <w:top w:val="single" w:sz="4" w:space="0" w:color="7F7F7F" w:themeColor="text1" w:themeTint="80"/>
              <w:left w:val="nil"/>
              <w:right w:val="nil"/>
            </w:tcBorders>
            <w:vAlign w:val="center"/>
            <w:hideMark/>
          </w:tcPr>
          <w:p w:rsidR="0083449B" w:rsidRPr="00EE00F6" w:rsidRDefault="0083449B" w:rsidP="005B54DD">
            <w:pPr>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bCs w:val="0"/>
                <w:szCs w:val="20"/>
              </w:rPr>
            </w:pPr>
            <w:r w:rsidRPr="00EE00F6">
              <w:rPr>
                <w:bCs w:val="0"/>
                <w:szCs w:val="20"/>
              </w:rPr>
              <w:t>Valor de P</w:t>
            </w:r>
          </w:p>
        </w:tc>
      </w:tr>
      <w:tr w:rsidR="0083449B" w:rsidRPr="00EE00F6" w:rsidTr="005B5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3449B" w:rsidRPr="00EE00F6" w:rsidRDefault="0083449B" w:rsidP="005B54DD">
            <w:pPr>
              <w:spacing w:line="240" w:lineRule="auto"/>
              <w:jc w:val="center"/>
              <w:rPr>
                <w:szCs w:val="20"/>
              </w:rPr>
            </w:pPr>
          </w:p>
        </w:tc>
        <w:tc>
          <w:tcPr>
            <w:tcW w:w="2123"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
                <w:bCs/>
                <w:szCs w:val="20"/>
              </w:rPr>
            </w:pPr>
            <w:r w:rsidRPr="00EE00F6">
              <w:rPr>
                <w:b/>
                <w:bCs/>
                <w:szCs w:val="20"/>
              </w:rPr>
              <w:t>Média ± DP</w:t>
            </w:r>
          </w:p>
        </w:tc>
        <w:tc>
          <w:tcPr>
            <w:tcW w:w="2275"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Cs/>
                <w:szCs w:val="20"/>
              </w:rPr>
            </w:pPr>
            <w:r w:rsidRPr="00EE00F6">
              <w:rPr>
                <w:b/>
                <w:bCs/>
                <w:szCs w:val="20"/>
              </w:rPr>
              <w:t>Média ± DP</w:t>
            </w:r>
          </w:p>
        </w:tc>
        <w:tc>
          <w:tcPr>
            <w:tcW w:w="0" w:type="auto"/>
            <w:vMerge/>
            <w:tcBorders>
              <w:left w:val="nil"/>
              <w:right w:val="nil"/>
            </w:tcBorders>
            <w:vAlign w:val="center"/>
            <w:hideMark/>
          </w:tcPr>
          <w:p w:rsidR="0083449B" w:rsidRPr="00EE00F6" w:rsidRDefault="0083449B" w:rsidP="005B54DD">
            <w:pPr>
              <w:spacing w:line="240" w:lineRule="auto"/>
              <w:jc w:val="center"/>
              <w:cnfStyle w:val="000000100000" w:firstRow="0" w:lastRow="0" w:firstColumn="0" w:lastColumn="0" w:oddVBand="0" w:evenVBand="0" w:oddHBand="1" w:evenHBand="0" w:firstRowFirstColumn="0" w:firstRowLastColumn="0" w:lastRowFirstColumn="0" w:lastRowLastColumn="0"/>
              <w:rPr>
                <w:b/>
                <w:szCs w:val="20"/>
              </w:rPr>
            </w:pPr>
          </w:p>
        </w:tc>
      </w:tr>
      <w:tr w:rsidR="0083449B" w:rsidRPr="00EE00F6" w:rsidTr="005B54DD">
        <w:tc>
          <w:tcPr>
            <w:cnfStyle w:val="001000000000" w:firstRow="0" w:lastRow="0" w:firstColumn="1" w:lastColumn="0" w:oddVBand="0" w:evenVBand="0" w:oddHBand="0" w:evenHBand="0" w:firstRowFirstColumn="0" w:firstRowLastColumn="0" w:lastRowFirstColumn="0" w:lastRowLastColumn="0"/>
            <w:tcW w:w="212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rPr>
                <w:bCs w:val="0"/>
                <w:szCs w:val="20"/>
              </w:rPr>
            </w:pPr>
            <w:r w:rsidRPr="00EE00F6">
              <w:rPr>
                <w:bCs w:val="0"/>
                <w:szCs w:val="20"/>
              </w:rPr>
              <w:t>IMC (kg/m²)</w:t>
            </w:r>
          </w:p>
        </w:tc>
        <w:tc>
          <w:tcPr>
            <w:tcW w:w="212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30,32</w:t>
            </w:r>
            <w:r w:rsidRPr="00EE00F6">
              <w:rPr>
                <w:color w:val="000000"/>
                <w:szCs w:val="20"/>
              </w:rPr>
              <w:t xml:space="preserve"> ± </w:t>
            </w:r>
            <w:r w:rsidRPr="00EE00F6">
              <w:rPr>
                <w:bCs/>
                <w:color w:val="000000"/>
                <w:szCs w:val="20"/>
              </w:rPr>
              <w:t>6,623</w:t>
            </w:r>
          </w:p>
        </w:tc>
        <w:tc>
          <w:tcPr>
            <w:tcW w:w="2275"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26,38</w:t>
            </w:r>
            <w:r w:rsidRPr="00EE00F6">
              <w:rPr>
                <w:color w:val="000000"/>
                <w:szCs w:val="20"/>
              </w:rPr>
              <w:t xml:space="preserve"> ± </w:t>
            </w:r>
            <w:r w:rsidRPr="00EE00F6">
              <w:rPr>
                <w:bCs/>
                <w:color w:val="000000"/>
                <w:szCs w:val="20"/>
              </w:rPr>
              <w:t>4,296</w:t>
            </w:r>
          </w:p>
        </w:tc>
        <w:tc>
          <w:tcPr>
            <w:tcW w:w="197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EE00F6">
              <w:rPr>
                <w:color w:val="000000"/>
                <w:szCs w:val="20"/>
              </w:rPr>
              <w:t>0,0046</w:t>
            </w:r>
          </w:p>
        </w:tc>
      </w:tr>
      <w:tr w:rsidR="0083449B" w:rsidRPr="00EE00F6" w:rsidTr="005B5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left w:val="nil"/>
              <w:right w:val="nil"/>
            </w:tcBorders>
            <w:vAlign w:val="center"/>
            <w:hideMark/>
          </w:tcPr>
          <w:p w:rsidR="0083449B" w:rsidRPr="00EE00F6" w:rsidRDefault="0083449B" w:rsidP="005B54DD">
            <w:pPr>
              <w:spacing w:before="120" w:after="120" w:line="240" w:lineRule="auto"/>
              <w:ind w:firstLine="0"/>
              <w:jc w:val="center"/>
              <w:rPr>
                <w:bCs w:val="0"/>
                <w:szCs w:val="20"/>
              </w:rPr>
            </w:pPr>
            <w:r w:rsidRPr="00EE00F6">
              <w:rPr>
                <w:bCs w:val="0"/>
                <w:szCs w:val="20"/>
              </w:rPr>
              <w:t>Circunferência abdominal (cm)</w:t>
            </w:r>
          </w:p>
        </w:tc>
        <w:tc>
          <w:tcPr>
            <w:tcW w:w="2123"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Cs/>
                <w:color w:val="000000"/>
                <w:szCs w:val="20"/>
              </w:rPr>
            </w:pPr>
            <w:r w:rsidRPr="00EE00F6">
              <w:rPr>
                <w:bCs/>
                <w:color w:val="000000"/>
                <w:szCs w:val="20"/>
              </w:rPr>
              <w:t>98,48</w:t>
            </w:r>
            <w:r w:rsidRPr="00EE00F6">
              <w:rPr>
                <w:color w:val="000000"/>
                <w:szCs w:val="20"/>
              </w:rPr>
              <w:t xml:space="preserve"> ± </w:t>
            </w:r>
            <w:r w:rsidRPr="00EE00F6">
              <w:rPr>
                <w:bCs/>
                <w:color w:val="000000"/>
                <w:szCs w:val="20"/>
              </w:rPr>
              <w:t>11,77</w:t>
            </w:r>
          </w:p>
        </w:tc>
        <w:tc>
          <w:tcPr>
            <w:tcW w:w="2275"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Cs/>
                <w:color w:val="000000"/>
                <w:szCs w:val="20"/>
              </w:rPr>
            </w:pPr>
            <w:r w:rsidRPr="00EE00F6">
              <w:rPr>
                <w:bCs/>
                <w:color w:val="000000"/>
                <w:szCs w:val="20"/>
              </w:rPr>
              <w:t>98,07</w:t>
            </w:r>
            <w:r w:rsidRPr="00EE00F6">
              <w:rPr>
                <w:color w:val="000000"/>
                <w:szCs w:val="20"/>
              </w:rPr>
              <w:t xml:space="preserve"> ± </w:t>
            </w:r>
            <w:r w:rsidRPr="00EE00F6">
              <w:rPr>
                <w:bCs/>
                <w:color w:val="000000"/>
                <w:szCs w:val="20"/>
              </w:rPr>
              <w:t>11,64</w:t>
            </w:r>
          </w:p>
        </w:tc>
        <w:tc>
          <w:tcPr>
            <w:tcW w:w="1973"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0F6">
              <w:rPr>
                <w:color w:val="000000"/>
                <w:szCs w:val="20"/>
              </w:rPr>
              <w:t>&gt; 0,10</w:t>
            </w:r>
          </w:p>
        </w:tc>
      </w:tr>
      <w:tr w:rsidR="0083449B" w:rsidRPr="00EE00F6" w:rsidTr="005B54DD">
        <w:tc>
          <w:tcPr>
            <w:cnfStyle w:val="001000000000" w:firstRow="0" w:lastRow="0" w:firstColumn="1" w:lastColumn="0" w:oddVBand="0" w:evenVBand="0" w:oddHBand="0" w:evenHBand="0" w:firstRowFirstColumn="0" w:firstRowLastColumn="0" w:lastRowFirstColumn="0" w:lastRowLastColumn="0"/>
            <w:tcW w:w="212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rPr>
                <w:bCs w:val="0"/>
                <w:szCs w:val="20"/>
              </w:rPr>
            </w:pPr>
            <w:r w:rsidRPr="00EE00F6">
              <w:rPr>
                <w:bCs w:val="0"/>
                <w:szCs w:val="20"/>
              </w:rPr>
              <w:t>Glicemia (mg/dl)</w:t>
            </w:r>
          </w:p>
        </w:tc>
        <w:tc>
          <w:tcPr>
            <w:tcW w:w="212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 xml:space="preserve">107,95 </w:t>
            </w:r>
            <w:r w:rsidRPr="00EE00F6">
              <w:rPr>
                <w:color w:val="000000"/>
                <w:szCs w:val="20"/>
              </w:rPr>
              <w:t xml:space="preserve">± </w:t>
            </w:r>
            <w:r w:rsidRPr="00EE00F6">
              <w:rPr>
                <w:bCs/>
                <w:color w:val="000000"/>
                <w:szCs w:val="20"/>
              </w:rPr>
              <w:t>14,873</w:t>
            </w:r>
          </w:p>
        </w:tc>
        <w:tc>
          <w:tcPr>
            <w:tcW w:w="2275"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 xml:space="preserve">114,66 </w:t>
            </w:r>
            <w:r w:rsidRPr="00EE00F6">
              <w:rPr>
                <w:color w:val="000000"/>
                <w:szCs w:val="20"/>
              </w:rPr>
              <w:t xml:space="preserve">± </w:t>
            </w:r>
            <w:r w:rsidRPr="00EE00F6">
              <w:rPr>
                <w:bCs/>
                <w:color w:val="000000"/>
                <w:szCs w:val="20"/>
              </w:rPr>
              <w:t>23,186</w:t>
            </w:r>
          </w:p>
        </w:tc>
        <w:tc>
          <w:tcPr>
            <w:tcW w:w="1973" w:type="dxa"/>
            <w:tcBorders>
              <w:top w:val="nil"/>
              <w:left w:val="nil"/>
              <w:bottom w:val="nil"/>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EE00F6">
              <w:rPr>
                <w:color w:val="000000"/>
                <w:szCs w:val="20"/>
              </w:rPr>
              <w:t>0,0068</w:t>
            </w:r>
          </w:p>
        </w:tc>
      </w:tr>
      <w:tr w:rsidR="0083449B" w:rsidRPr="00EE00F6" w:rsidTr="005B5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left w:val="nil"/>
              <w:right w:val="nil"/>
            </w:tcBorders>
            <w:vAlign w:val="center"/>
            <w:hideMark/>
          </w:tcPr>
          <w:p w:rsidR="0083449B" w:rsidRPr="00EE00F6" w:rsidRDefault="0083449B" w:rsidP="005B54DD">
            <w:pPr>
              <w:spacing w:before="120" w:after="120" w:line="240" w:lineRule="auto"/>
              <w:ind w:firstLine="0"/>
              <w:jc w:val="center"/>
              <w:rPr>
                <w:bCs w:val="0"/>
                <w:szCs w:val="20"/>
              </w:rPr>
            </w:pPr>
            <w:r w:rsidRPr="00EE00F6">
              <w:rPr>
                <w:bCs w:val="0"/>
                <w:szCs w:val="20"/>
              </w:rPr>
              <w:t>Triglicerídeos (mg/dl)</w:t>
            </w:r>
          </w:p>
        </w:tc>
        <w:tc>
          <w:tcPr>
            <w:tcW w:w="2123"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Cs/>
                <w:color w:val="000000"/>
                <w:szCs w:val="20"/>
              </w:rPr>
            </w:pPr>
            <w:r w:rsidRPr="00EE00F6">
              <w:rPr>
                <w:bCs/>
                <w:color w:val="000000"/>
                <w:szCs w:val="20"/>
              </w:rPr>
              <w:t>126,42</w:t>
            </w:r>
            <w:r w:rsidRPr="00EE00F6">
              <w:rPr>
                <w:color w:val="000000"/>
                <w:szCs w:val="20"/>
              </w:rPr>
              <w:t xml:space="preserve"> ± </w:t>
            </w:r>
            <w:r w:rsidRPr="00EE00F6">
              <w:rPr>
                <w:bCs/>
                <w:color w:val="000000"/>
                <w:szCs w:val="20"/>
              </w:rPr>
              <w:t>73,23</w:t>
            </w:r>
          </w:p>
        </w:tc>
        <w:tc>
          <w:tcPr>
            <w:tcW w:w="2275"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bCs/>
                <w:color w:val="000000"/>
                <w:szCs w:val="20"/>
              </w:rPr>
            </w:pPr>
            <w:r w:rsidRPr="00EE00F6">
              <w:rPr>
                <w:bCs/>
                <w:color w:val="000000"/>
                <w:szCs w:val="20"/>
              </w:rPr>
              <w:t>105,18</w:t>
            </w:r>
            <w:r w:rsidRPr="00EE00F6">
              <w:rPr>
                <w:color w:val="000000"/>
                <w:szCs w:val="20"/>
              </w:rPr>
              <w:t xml:space="preserve"> ± </w:t>
            </w:r>
            <w:r w:rsidRPr="00EE00F6">
              <w:rPr>
                <w:bCs/>
                <w:color w:val="000000"/>
                <w:szCs w:val="20"/>
              </w:rPr>
              <w:t>43,499</w:t>
            </w:r>
          </w:p>
        </w:tc>
        <w:tc>
          <w:tcPr>
            <w:tcW w:w="1973" w:type="dxa"/>
            <w:tcBorders>
              <w:left w:val="nil"/>
              <w:right w:val="nil"/>
            </w:tcBorders>
            <w:vAlign w:val="center"/>
            <w:hideMark/>
          </w:tcPr>
          <w:p w:rsidR="0083449B" w:rsidRPr="00EE00F6" w:rsidRDefault="0083449B" w:rsidP="005B54DD">
            <w:pPr>
              <w:spacing w:before="120" w:after="120"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0F6">
              <w:rPr>
                <w:color w:val="000000"/>
                <w:szCs w:val="20"/>
              </w:rPr>
              <w:t>0,0329</w:t>
            </w:r>
          </w:p>
        </w:tc>
      </w:tr>
      <w:tr w:rsidR="0083449B" w:rsidRPr="00EE00F6" w:rsidTr="005B54DD">
        <w:tc>
          <w:tcPr>
            <w:cnfStyle w:val="001000000000" w:firstRow="0" w:lastRow="0" w:firstColumn="1" w:lastColumn="0" w:oddVBand="0" w:evenVBand="0" w:oddHBand="0" w:evenHBand="0" w:firstRowFirstColumn="0" w:firstRowLastColumn="0" w:lastRowFirstColumn="0" w:lastRowLastColumn="0"/>
            <w:tcW w:w="2123" w:type="dxa"/>
            <w:tcBorders>
              <w:top w:val="nil"/>
              <w:left w:val="nil"/>
              <w:bottom w:val="single" w:sz="4" w:space="0" w:color="7F7F7F" w:themeColor="text1" w:themeTint="80"/>
              <w:right w:val="nil"/>
            </w:tcBorders>
            <w:vAlign w:val="center"/>
            <w:hideMark/>
          </w:tcPr>
          <w:p w:rsidR="0083449B" w:rsidRPr="00EE00F6" w:rsidRDefault="0083449B" w:rsidP="005B54DD">
            <w:pPr>
              <w:spacing w:before="120" w:after="120" w:line="240" w:lineRule="auto"/>
              <w:ind w:firstLine="0"/>
              <w:jc w:val="center"/>
              <w:rPr>
                <w:bCs w:val="0"/>
                <w:szCs w:val="20"/>
              </w:rPr>
            </w:pPr>
            <w:r w:rsidRPr="00EE00F6">
              <w:rPr>
                <w:bCs w:val="0"/>
                <w:szCs w:val="20"/>
              </w:rPr>
              <w:t>HDL – Colesterol (mg/dl)</w:t>
            </w:r>
          </w:p>
        </w:tc>
        <w:tc>
          <w:tcPr>
            <w:tcW w:w="2123" w:type="dxa"/>
            <w:tcBorders>
              <w:top w:val="nil"/>
              <w:left w:val="nil"/>
              <w:bottom w:val="single" w:sz="4" w:space="0" w:color="7F7F7F" w:themeColor="text1" w:themeTint="80"/>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53,80</w:t>
            </w:r>
            <w:r w:rsidRPr="00EE00F6">
              <w:rPr>
                <w:color w:val="000000"/>
                <w:szCs w:val="20"/>
              </w:rPr>
              <w:t xml:space="preserve"> ± </w:t>
            </w:r>
            <w:r w:rsidRPr="00EE00F6">
              <w:rPr>
                <w:bCs/>
                <w:color w:val="000000"/>
                <w:szCs w:val="20"/>
              </w:rPr>
              <w:t>17,515</w:t>
            </w:r>
          </w:p>
        </w:tc>
        <w:tc>
          <w:tcPr>
            <w:tcW w:w="2275" w:type="dxa"/>
            <w:tcBorders>
              <w:top w:val="nil"/>
              <w:left w:val="nil"/>
              <w:bottom w:val="single" w:sz="4" w:space="0" w:color="7F7F7F" w:themeColor="text1" w:themeTint="80"/>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color w:val="000000"/>
                <w:szCs w:val="20"/>
              </w:rPr>
            </w:pPr>
            <w:r w:rsidRPr="00EE00F6">
              <w:rPr>
                <w:bCs/>
                <w:color w:val="000000"/>
                <w:szCs w:val="20"/>
              </w:rPr>
              <w:t>48,86</w:t>
            </w:r>
            <w:r w:rsidRPr="00EE00F6">
              <w:rPr>
                <w:color w:val="000000"/>
                <w:szCs w:val="20"/>
              </w:rPr>
              <w:t xml:space="preserve"> ± </w:t>
            </w:r>
            <w:r w:rsidRPr="00EE00F6">
              <w:rPr>
                <w:bCs/>
                <w:color w:val="000000"/>
                <w:szCs w:val="20"/>
              </w:rPr>
              <w:t>13,201</w:t>
            </w:r>
          </w:p>
        </w:tc>
        <w:tc>
          <w:tcPr>
            <w:tcW w:w="1973" w:type="dxa"/>
            <w:tcBorders>
              <w:top w:val="nil"/>
              <w:left w:val="nil"/>
              <w:bottom w:val="single" w:sz="4" w:space="0" w:color="7F7F7F" w:themeColor="text1" w:themeTint="80"/>
              <w:right w:val="nil"/>
            </w:tcBorders>
            <w:vAlign w:val="center"/>
            <w:hideMark/>
          </w:tcPr>
          <w:p w:rsidR="0083449B" w:rsidRPr="00EE00F6" w:rsidRDefault="0083449B" w:rsidP="005B54DD">
            <w:pPr>
              <w:spacing w:before="120" w:after="120" w:line="240" w:lineRule="auto"/>
              <w:ind w:firstLine="0"/>
              <w:jc w:val="center"/>
              <w:cnfStyle w:val="000000000000" w:firstRow="0" w:lastRow="0" w:firstColumn="0" w:lastColumn="0" w:oddVBand="0" w:evenVBand="0" w:oddHBand="0" w:evenHBand="0" w:firstRowFirstColumn="0" w:firstRowLastColumn="0" w:lastRowFirstColumn="0" w:lastRowLastColumn="0"/>
              <w:rPr>
                <w:bCs/>
                <w:szCs w:val="20"/>
              </w:rPr>
            </w:pPr>
            <w:r w:rsidRPr="00EE00F6">
              <w:rPr>
                <w:color w:val="000000"/>
                <w:szCs w:val="20"/>
              </w:rPr>
              <w:t>0,007</w:t>
            </w:r>
          </w:p>
        </w:tc>
      </w:tr>
    </w:tbl>
    <w:p w:rsidR="0083449B" w:rsidRDefault="0083449B" w:rsidP="0083449B">
      <w:pPr>
        <w:spacing w:after="0"/>
        <w:ind w:firstLine="0"/>
        <w:rPr>
          <w:bCs/>
          <w:sz w:val="20"/>
          <w:szCs w:val="20"/>
        </w:rPr>
      </w:pPr>
      <w:r w:rsidRPr="00EE00F6">
        <w:rPr>
          <w:b/>
          <w:bCs/>
          <w:sz w:val="20"/>
          <w:szCs w:val="20"/>
        </w:rPr>
        <w:t>Fonte:</w:t>
      </w:r>
      <w:r>
        <w:rPr>
          <w:bCs/>
          <w:sz w:val="20"/>
          <w:szCs w:val="20"/>
        </w:rPr>
        <w:t xml:space="preserve"> P</w:t>
      </w:r>
      <w:r w:rsidRPr="00EA7EC5">
        <w:rPr>
          <w:bCs/>
          <w:sz w:val="20"/>
          <w:szCs w:val="20"/>
        </w:rPr>
        <w:t xml:space="preserve">esquisa de campo. </w:t>
      </w:r>
    </w:p>
    <w:p w:rsidR="008A0990" w:rsidRPr="00EA7EC5" w:rsidRDefault="008A0990" w:rsidP="0083449B">
      <w:pPr>
        <w:spacing w:after="0"/>
        <w:ind w:firstLine="0"/>
        <w:rPr>
          <w:bCs/>
          <w:sz w:val="20"/>
          <w:szCs w:val="20"/>
        </w:rPr>
      </w:pPr>
    </w:p>
    <w:p w:rsidR="0083449B" w:rsidRPr="00B65A3D" w:rsidRDefault="0083449B" w:rsidP="0083449B">
      <w:pPr>
        <w:shd w:val="clear" w:color="auto" w:fill="FFFFFF" w:themeFill="background1"/>
        <w:spacing w:after="0"/>
        <w:ind w:firstLine="708"/>
        <w:rPr>
          <w:bCs/>
          <w:color w:val="000000"/>
          <w:szCs w:val="24"/>
        </w:rPr>
      </w:pPr>
      <w:r w:rsidRPr="00B65A3D">
        <w:rPr>
          <w:szCs w:val="24"/>
        </w:rPr>
        <w:t>As médias</w:t>
      </w:r>
      <w:r>
        <w:rPr>
          <w:szCs w:val="24"/>
        </w:rPr>
        <w:t xml:space="preserve"> do IMC</w:t>
      </w:r>
      <w:r w:rsidRPr="00B65A3D">
        <w:rPr>
          <w:szCs w:val="24"/>
        </w:rPr>
        <w:t xml:space="preserve"> e</w:t>
      </w:r>
      <w:r>
        <w:rPr>
          <w:szCs w:val="24"/>
        </w:rPr>
        <w:t>ntre os idosos, separados por sexo, demonstraram que, segundo a</w:t>
      </w:r>
      <w:r w:rsidRPr="00B65A3D">
        <w:rPr>
          <w:szCs w:val="24"/>
        </w:rPr>
        <w:t xml:space="preserve"> classificação</w:t>
      </w:r>
      <w:r>
        <w:rPr>
          <w:szCs w:val="24"/>
        </w:rPr>
        <w:t xml:space="preserve"> de </w:t>
      </w:r>
      <w:r w:rsidRPr="00B65A3D">
        <w:rPr>
          <w:szCs w:val="24"/>
        </w:rPr>
        <w:t>Lipschitz (1994)</w:t>
      </w:r>
      <w:r>
        <w:rPr>
          <w:szCs w:val="24"/>
        </w:rPr>
        <w:t>, o sexo feminino apresentou sobrepeso (</w:t>
      </w:r>
      <w:r w:rsidRPr="00E4497E">
        <w:rPr>
          <w:szCs w:val="24"/>
        </w:rPr>
        <w:t>30,32 ± 6,623</w:t>
      </w:r>
      <w:r>
        <w:rPr>
          <w:szCs w:val="24"/>
        </w:rPr>
        <w:t>) e o sexo masculino eutrofia (</w:t>
      </w:r>
      <w:r w:rsidRPr="00E4497E">
        <w:rPr>
          <w:szCs w:val="24"/>
        </w:rPr>
        <w:t>26,38 ± 4,296</w:t>
      </w:r>
      <w:r>
        <w:rPr>
          <w:szCs w:val="24"/>
        </w:rPr>
        <w:t>), apresentando diferença estatística significativa (p = 0,0046).</w:t>
      </w:r>
    </w:p>
    <w:p w:rsidR="0083449B" w:rsidRPr="00B65A3D" w:rsidRDefault="0083449B" w:rsidP="0083449B">
      <w:pPr>
        <w:spacing w:after="0"/>
        <w:ind w:firstLine="708"/>
        <w:rPr>
          <w:bCs/>
          <w:color w:val="000000"/>
          <w:szCs w:val="24"/>
        </w:rPr>
      </w:pPr>
      <w:r>
        <w:rPr>
          <w:szCs w:val="24"/>
        </w:rPr>
        <w:t>Ambos os sexos</w:t>
      </w:r>
      <w:r w:rsidRPr="00B65A3D">
        <w:rPr>
          <w:color w:val="000000" w:themeColor="text1"/>
          <w:szCs w:val="24"/>
        </w:rPr>
        <w:t xml:space="preserve"> </w:t>
      </w:r>
      <w:r w:rsidRPr="00B65A3D">
        <w:rPr>
          <w:szCs w:val="24"/>
        </w:rPr>
        <w:t>apresentaram risco elevado para o aparecimento de doenças cardiovasculares</w:t>
      </w:r>
      <w:r>
        <w:rPr>
          <w:szCs w:val="24"/>
        </w:rPr>
        <w:t xml:space="preserve"> através da circunferência abdominal,</w:t>
      </w:r>
      <w:r w:rsidRPr="00B65A3D">
        <w:rPr>
          <w:szCs w:val="24"/>
        </w:rPr>
        <w:t xml:space="preserve"> </w:t>
      </w:r>
      <w:r>
        <w:rPr>
          <w:bCs/>
          <w:color w:val="000000"/>
          <w:szCs w:val="24"/>
        </w:rPr>
        <w:t xml:space="preserve">segundo a recomendação da OMS (1995), </w:t>
      </w:r>
      <w:r>
        <w:rPr>
          <w:szCs w:val="24"/>
        </w:rPr>
        <w:t>não havendo diferença estatística.</w:t>
      </w:r>
    </w:p>
    <w:p w:rsidR="0083449B" w:rsidRDefault="0083449B" w:rsidP="0083449B">
      <w:pPr>
        <w:spacing w:after="0"/>
        <w:ind w:firstLine="708"/>
        <w:rPr>
          <w:szCs w:val="24"/>
        </w:rPr>
      </w:pPr>
      <w:r w:rsidRPr="00B65A3D">
        <w:rPr>
          <w:szCs w:val="24"/>
        </w:rPr>
        <w:t>Quanto as alterações bioquímicas envolvendo o metabolismo da glicose observou-se que a média de glicose em jejum apresentou-se dentro dos padrões de normalidade para o sexo feminino</w:t>
      </w:r>
      <w:r>
        <w:rPr>
          <w:szCs w:val="24"/>
        </w:rPr>
        <w:t xml:space="preserve"> (107,95 ± 14,873)</w:t>
      </w:r>
      <w:r w:rsidRPr="00B65A3D">
        <w:rPr>
          <w:szCs w:val="24"/>
        </w:rPr>
        <w:t xml:space="preserve"> e aumentada para o sexo masculino </w:t>
      </w:r>
      <w:r>
        <w:rPr>
          <w:szCs w:val="24"/>
        </w:rPr>
        <w:t xml:space="preserve">(114,66 ± 23,186), </w:t>
      </w:r>
      <w:r w:rsidRPr="00B65A3D">
        <w:rPr>
          <w:szCs w:val="24"/>
        </w:rPr>
        <w:t xml:space="preserve">segundo os padrões referenciados </w:t>
      </w:r>
      <w:r>
        <w:rPr>
          <w:szCs w:val="24"/>
        </w:rPr>
        <w:t xml:space="preserve">pela Sociedade Brasileira de Diabetes (2002) onde o limite para alterações glicêmicas é de até 110 mg/dL para ambos os sexos, apresentando diferença estatística significativa (p = 0,0068). </w:t>
      </w:r>
    </w:p>
    <w:p w:rsidR="0083449B" w:rsidRDefault="0083449B" w:rsidP="0083449B">
      <w:pPr>
        <w:spacing w:after="0"/>
        <w:ind w:firstLine="708"/>
        <w:rPr>
          <w:bCs/>
          <w:szCs w:val="24"/>
        </w:rPr>
      </w:pPr>
      <w:r>
        <w:rPr>
          <w:szCs w:val="24"/>
        </w:rPr>
        <w:t>Quanto ao perfil lipídico, os</w:t>
      </w:r>
      <w:r w:rsidRPr="00B65A3D">
        <w:rPr>
          <w:szCs w:val="24"/>
        </w:rPr>
        <w:t xml:space="preserve"> </w:t>
      </w:r>
      <w:r>
        <w:rPr>
          <w:szCs w:val="24"/>
        </w:rPr>
        <w:t>t</w:t>
      </w:r>
      <w:r w:rsidRPr="00B65A3D">
        <w:rPr>
          <w:szCs w:val="24"/>
        </w:rPr>
        <w:t>riglicerídeo</w:t>
      </w:r>
      <w:r>
        <w:rPr>
          <w:szCs w:val="24"/>
        </w:rPr>
        <w:t>s e o HDL</w:t>
      </w:r>
      <w:r w:rsidRPr="00B65A3D">
        <w:rPr>
          <w:szCs w:val="24"/>
        </w:rPr>
        <w:t xml:space="preserve"> apresentaram-se dentro do</w:t>
      </w:r>
      <w:r>
        <w:rPr>
          <w:szCs w:val="24"/>
        </w:rPr>
        <w:t xml:space="preserve">s valores </w:t>
      </w:r>
      <w:r w:rsidRPr="00B65A3D">
        <w:rPr>
          <w:szCs w:val="24"/>
        </w:rPr>
        <w:t>de no</w:t>
      </w:r>
      <w:r>
        <w:rPr>
          <w:szCs w:val="24"/>
        </w:rPr>
        <w:t>rmalidade segundo os padrões estipulados pela III Diretrizes Brasileiras sobre Dislipidemias (2002).</w:t>
      </w:r>
    </w:p>
    <w:p w:rsidR="0083449B" w:rsidRDefault="0083449B" w:rsidP="0083449B">
      <w:pPr>
        <w:spacing w:after="0"/>
        <w:rPr>
          <w:bCs/>
          <w:szCs w:val="24"/>
        </w:rPr>
      </w:pPr>
      <w:r>
        <w:rPr>
          <w:bCs/>
          <w:szCs w:val="24"/>
        </w:rPr>
        <w:lastRenderedPageBreak/>
        <w:t>Para avaliar a presença de SM, este estudo utilizou os critérios propostos pelo NCEP-ATP III, IDF e JIS. Sendo assim, foram classificados com SM segundo os critérios citados 47,22%, 47,22% e 50,00% dos indivíduos participantes, respectivamente, conforme fi</w:t>
      </w:r>
      <w:r w:rsidR="00CF2B8C">
        <w:rPr>
          <w:bCs/>
          <w:szCs w:val="24"/>
        </w:rPr>
        <w:t>gura 2</w:t>
      </w:r>
      <w:r>
        <w:rPr>
          <w:bCs/>
          <w:szCs w:val="24"/>
        </w:rPr>
        <w:t xml:space="preserve"> abaixo.</w:t>
      </w:r>
    </w:p>
    <w:p w:rsidR="0083449B" w:rsidRPr="00EE00F6" w:rsidRDefault="00CF2B8C" w:rsidP="0083449B">
      <w:pPr>
        <w:spacing w:after="0" w:line="240" w:lineRule="auto"/>
        <w:ind w:left="993" w:right="282" w:firstLine="0"/>
        <w:rPr>
          <w:bCs/>
          <w:sz w:val="32"/>
          <w:szCs w:val="24"/>
        </w:rPr>
      </w:pPr>
      <w:r>
        <w:rPr>
          <w:rFonts w:eastAsia="Times New Roman"/>
          <w:b/>
          <w:bCs/>
          <w:color w:val="000000"/>
          <w:szCs w:val="20"/>
          <w:lang w:eastAsia="pt-BR"/>
        </w:rPr>
        <w:t>Figura 2</w:t>
      </w:r>
      <w:r w:rsidR="0083449B" w:rsidRPr="00EE00F6">
        <w:rPr>
          <w:rFonts w:eastAsia="Times New Roman"/>
          <w:bCs/>
          <w:color w:val="000000"/>
          <w:szCs w:val="20"/>
          <w:lang w:eastAsia="pt-BR"/>
        </w:rPr>
        <w:t xml:space="preserve"> – Frequência da presença de síndrome metabólica na população estudada de acordo com os</w:t>
      </w:r>
      <w:r w:rsidR="00EF6A2C">
        <w:rPr>
          <w:rFonts w:eastAsia="Times New Roman"/>
          <w:bCs/>
          <w:color w:val="000000"/>
          <w:szCs w:val="20"/>
          <w:lang w:eastAsia="pt-BR"/>
        </w:rPr>
        <w:t xml:space="preserve"> critérios</w:t>
      </w:r>
      <w:r w:rsidR="0083449B" w:rsidRPr="00EE00F6">
        <w:rPr>
          <w:rFonts w:eastAsia="Times New Roman"/>
          <w:bCs/>
          <w:color w:val="000000"/>
          <w:szCs w:val="20"/>
          <w:lang w:eastAsia="pt-BR"/>
        </w:rPr>
        <w:t xml:space="preserve"> NCEP-ATP III, IDF e JIS, </w:t>
      </w:r>
      <w:r w:rsidR="0083449B" w:rsidRPr="00EE00F6">
        <w:rPr>
          <w:bCs/>
          <w:szCs w:val="20"/>
        </w:rPr>
        <w:t>em uma Unidade Ambulatorial em Campo Grande – MS, 2018.</w:t>
      </w:r>
    </w:p>
    <w:p w:rsidR="0083449B" w:rsidRDefault="0083449B" w:rsidP="0083449B">
      <w:pPr>
        <w:spacing w:before="120" w:after="120" w:line="240" w:lineRule="auto"/>
        <w:ind w:left="993" w:right="707" w:firstLine="0"/>
        <w:jc w:val="left"/>
        <w:rPr>
          <w:rFonts w:eastAsia="Times New Roman"/>
          <w:b/>
          <w:bCs/>
          <w:color w:val="000000"/>
          <w:szCs w:val="24"/>
          <w:lang w:eastAsia="pt-BR"/>
        </w:rPr>
      </w:pPr>
      <w:r>
        <w:rPr>
          <w:noProof/>
          <w:lang w:eastAsia="pt-BR"/>
        </w:rPr>
        <w:drawing>
          <wp:inline distT="0" distB="0" distL="0" distR="0" wp14:anchorId="62E9C159" wp14:editId="3CAB6765">
            <wp:extent cx="4657725" cy="23241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449B" w:rsidRPr="0097636C" w:rsidRDefault="0083449B" w:rsidP="0083449B">
      <w:pPr>
        <w:spacing w:after="0" w:line="240" w:lineRule="auto"/>
        <w:ind w:left="993" w:right="282" w:firstLine="0"/>
        <w:rPr>
          <w:sz w:val="20"/>
        </w:rPr>
      </w:pPr>
      <w:r w:rsidRPr="00D03F51">
        <w:rPr>
          <w:b/>
          <w:sz w:val="20"/>
        </w:rPr>
        <w:t>Fonte:</w:t>
      </w:r>
      <w:r w:rsidRPr="0097636C">
        <w:rPr>
          <w:sz w:val="20"/>
        </w:rPr>
        <w:t xml:space="preserve"> </w:t>
      </w:r>
      <w:r>
        <w:rPr>
          <w:bCs/>
          <w:sz w:val="20"/>
          <w:szCs w:val="20"/>
        </w:rPr>
        <w:t>Pesquisa de campo.</w:t>
      </w:r>
    </w:p>
    <w:p w:rsidR="0083449B" w:rsidRDefault="0083449B" w:rsidP="0083449B">
      <w:pPr>
        <w:spacing w:after="0" w:line="240" w:lineRule="auto"/>
        <w:ind w:left="993" w:right="282" w:firstLine="0"/>
        <w:rPr>
          <w:sz w:val="20"/>
        </w:rPr>
      </w:pPr>
      <w:r>
        <w:rPr>
          <w:b/>
          <w:sz w:val="20"/>
        </w:rPr>
        <w:t>NCEP-ATPIII:</w:t>
      </w:r>
      <w:r>
        <w:rPr>
          <w:sz w:val="20"/>
        </w:rPr>
        <w:t xml:space="preserve"> Third Report of the National Cholesterol Education Program; </w:t>
      </w:r>
      <w:r>
        <w:rPr>
          <w:b/>
          <w:sz w:val="20"/>
        </w:rPr>
        <w:t>IDF:</w:t>
      </w:r>
      <w:r>
        <w:rPr>
          <w:sz w:val="20"/>
        </w:rPr>
        <w:t xml:space="preserve"> Federação Internacional de Diabetes; JIS</w:t>
      </w:r>
      <w:r>
        <w:rPr>
          <w:b/>
          <w:sz w:val="20"/>
        </w:rPr>
        <w:t>:</w:t>
      </w:r>
      <w:r>
        <w:rPr>
          <w:sz w:val="20"/>
        </w:rPr>
        <w:t xml:space="preserve"> Joint Interim Statement.</w:t>
      </w:r>
    </w:p>
    <w:p w:rsidR="0083449B" w:rsidRDefault="0083449B" w:rsidP="00895AE0">
      <w:pPr>
        <w:spacing w:after="0"/>
        <w:rPr>
          <w:szCs w:val="18"/>
        </w:rPr>
      </w:pPr>
    </w:p>
    <w:p w:rsidR="0083449B" w:rsidRDefault="0083449B" w:rsidP="0083449B">
      <w:pPr>
        <w:spacing w:after="0"/>
        <w:rPr>
          <w:bCs/>
          <w:szCs w:val="24"/>
        </w:rPr>
      </w:pPr>
      <w:r>
        <w:rPr>
          <w:bCs/>
          <w:szCs w:val="24"/>
        </w:rPr>
        <w:t xml:space="preserve">A SM apresentou-se mais frequente no sexo feminino nos três critérios avaliados, correspondendo a 58,80% segundo os critérios </w:t>
      </w:r>
      <w:r>
        <w:rPr>
          <w:rFonts w:eastAsia="Times New Roman"/>
          <w:bCs/>
          <w:color w:val="000000"/>
          <w:szCs w:val="24"/>
          <w:lang w:eastAsia="pt-BR"/>
        </w:rPr>
        <w:t>NCEP-ATP III e IDF</w:t>
      </w:r>
      <w:r>
        <w:rPr>
          <w:bCs/>
          <w:szCs w:val="24"/>
        </w:rPr>
        <w:t xml:space="preserve">, e 55,60% pelo critério </w:t>
      </w:r>
      <w:r>
        <w:rPr>
          <w:rFonts w:eastAsia="Times New Roman"/>
          <w:bCs/>
          <w:color w:val="000000"/>
          <w:szCs w:val="24"/>
          <w:lang w:eastAsia="pt-BR"/>
        </w:rPr>
        <w:t>JIS</w:t>
      </w:r>
      <w:r>
        <w:rPr>
          <w:bCs/>
          <w:szCs w:val="24"/>
        </w:rPr>
        <w:t xml:space="preserve">. A população masculina representou 41,20%, 41,20% e 44,40% pelos </w:t>
      </w:r>
      <w:r>
        <w:rPr>
          <w:rFonts w:eastAsia="Times New Roman"/>
          <w:bCs/>
          <w:color w:val="000000"/>
          <w:szCs w:val="24"/>
          <w:lang w:eastAsia="pt-BR"/>
        </w:rPr>
        <w:t>critérios NCEP-ATP III, IDF e JIS, respectivamente.</w:t>
      </w:r>
      <w:r w:rsidRPr="0014794B">
        <w:rPr>
          <w:bCs/>
          <w:szCs w:val="24"/>
        </w:rPr>
        <w:t xml:space="preserve"> </w:t>
      </w:r>
    </w:p>
    <w:p w:rsidR="0083449B" w:rsidRDefault="00CF2B8C" w:rsidP="0083449B">
      <w:pPr>
        <w:spacing w:after="0"/>
        <w:rPr>
          <w:szCs w:val="18"/>
        </w:rPr>
      </w:pPr>
      <w:r>
        <w:rPr>
          <w:szCs w:val="18"/>
        </w:rPr>
        <w:t>A Figura 3</w:t>
      </w:r>
      <w:r w:rsidR="0083449B">
        <w:rPr>
          <w:szCs w:val="18"/>
        </w:rPr>
        <w:t>, apresenta as faixas etárias presentes no estudo considerando as faixas de 60-69 anos, 70-79 anos e 80 anos ou mais. Observou-se que a faixa etária de 70-79 anos foi a mais frequente nos três critérios avaliados.</w:t>
      </w: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E95A03" w:rsidRDefault="00E95A03" w:rsidP="0083449B">
      <w:pPr>
        <w:spacing w:after="0" w:line="240" w:lineRule="auto"/>
        <w:ind w:left="851" w:right="140" w:firstLine="0"/>
        <w:rPr>
          <w:rFonts w:eastAsia="Times New Roman"/>
          <w:b/>
          <w:bCs/>
          <w:color w:val="000000"/>
          <w:szCs w:val="24"/>
          <w:lang w:eastAsia="pt-BR"/>
        </w:rPr>
      </w:pPr>
    </w:p>
    <w:p w:rsidR="0083449B" w:rsidRDefault="00CF2B8C" w:rsidP="0083449B">
      <w:pPr>
        <w:spacing w:after="0" w:line="240" w:lineRule="auto"/>
        <w:ind w:left="851" w:right="140" w:firstLine="0"/>
        <w:rPr>
          <w:rFonts w:eastAsia="Times New Roman"/>
          <w:bCs/>
          <w:color w:val="000000"/>
          <w:szCs w:val="24"/>
          <w:lang w:eastAsia="pt-BR"/>
        </w:rPr>
      </w:pPr>
      <w:r>
        <w:rPr>
          <w:rFonts w:eastAsia="Times New Roman"/>
          <w:b/>
          <w:bCs/>
          <w:color w:val="000000"/>
          <w:szCs w:val="24"/>
          <w:lang w:eastAsia="pt-BR"/>
        </w:rPr>
        <w:lastRenderedPageBreak/>
        <w:t>Figura 3</w:t>
      </w:r>
      <w:r w:rsidR="0083449B">
        <w:rPr>
          <w:rFonts w:eastAsia="Times New Roman"/>
          <w:bCs/>
          <w:color w:val="000000"/>
          <w:szCs w:val="24"/>
          <w:lang w:eastAsia="pt-BR"/>
        </w:rPr>
        <w:t xml:space="preserve"> –</w:t>
      </w:r>
      <w:r w:rsidR="0083449B" w:rsidRPr="00314FF4">
        <w:rPr>
          <w:rFonts w:eastAsia="Times New Roman"/>
          <w:bCs/>
          <w:color w:val="000000"/>
          <w:szCs w:val="24"/>
          <w:lang w:eastAsia="pt-BR"/>
        </w:rPr>
        <w:t xml:space="preserve"> Prevalência </w:t>
      </w:r>
      <w:r w:rsidR="0083449B">
        <w:rPr>
          <w:rFonts w:eastAsia="Times New Roman"/>
          <w:bCs/>
          <w:color w:val="000000"/>
          <w:szCs w:val="24"/>
          <w:lang w:eastAsia="pt-BR"/>
        </w:rPr>
        <w:t>d</w:t>
      </w:r>
      <w:r w:rsidR="0083449B" w:rsidRPr="00314FF4">
        <w:rPr>
          <w:rFonts w:eastAsia="Times New Roman"/>
          <w:bCs/>
          <w:color w:val="000000"/>
          <w:szCs w:val="24"/>
          <w:lang w:eastAsia="pt-BR"/>
        </w:rPr>
        <w:t xml:space="preserve">a Síndrome Metabólica </w:t>
      </w:r>
      <w:r w:rsidR="0083449B">
        <w:rPr>
          <w:rFonts w:eastAsia="Times New Roman"/>
          <w:bCs/>
          <w:color w:val="000000"/>
          <w:szCs w:val="24"/>
          <w:lang w:eastAsia="pt-BR"/>
        </w:rPr>
        <w:t>p</w:t>
      </w:r>
      <w:r w:rsidR="0083449B" w:rsidRPr="00314FF4">
        <w:rPr>
          <w:rFonts w:eastAsia="Times New Roman"/>
          <w:bCs/>
          <w:color w:val="000000"/>
          <w:szCs w:val="24"/>
          <w:lang w:eastAsia="pt-BR"/>
        </w:rPr>
        <w:t xml:space="preserve">or </w:t>
      </w:r>
      <w:r w:rsidR="0083449B">
        <w:rPr>
          <w:rFonts w:eastAsia="Times New Roman"/>
          <w:bCs/>
          <w:color w:val="000000"/>
          <w:szCs w:val="24"/>
          <w:lang w:eastAsia="pt-BR"/>
        </w:rPr>
        <w:t>faixa etária na população estudada de acordo com os três c</w:t>
      </w:r>
      <w:r w:rsidR="0083449B" w:rsidRPr="00314FF4">
        <w:rPr>
          <w:rFonts w:eastAsia="Times New Roman"/>
          <w:bCs/>
          <w:color w:val="000000"/>
          <w:szCs w:val="24"/>
          <w:lang w:eastAsia="pt-BR"/>
        </w:rPr>
        <w:t>ritério</w:t>
      </w:r>
      <w:r w:rsidR="0083449B">
        <w:rPr>
          <w:rFonts w:eastAsia="Times New Roman"/>
          <w:bCs/>
          <w:color w:val="000000"/>
          <w:szCs w:val="24"/>
          <w:lang w:eastAsia="pt-BR"/>
        </w:rPr>
        <w:t>s</w:t>
      </w:r>
      <w:r w:rsidR="0083449B" w:rsidRPr="00EF4072">
        <w:rPr>
          <w:bCs/>
          <w:szCs w:val="24"/>
        </w:rPr>
        <w:t xml:space="preserve"> </w:t>
      </w:r>
      <w:r w:rsidR="0083449B">
        <w:rPr>
          <w:bCs/>
          <w:szCs w:val="24"/>
        </w:rPr>
        <w:t>em uma unidade ambulatorial em Campo Grande – MS, 2018.</w:t>
      </w:r>
      <w:r w:rsidR="0083449B">
        <w:rPr>
          <w:noProof/>
          <w:lang w:eastAsia="pt-BR"/>
        </w:rPr>
        <w:drawing>
          <wp:inline distT="0" distB="0" distL="0" distR="0" wp14:anchorId="51C9DCDF" wp14:editId="482B29BB">
            <wp:extent cx="5143500" cy="27527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449B" w:rsidRPr="00326CD3" w:rsidRDefault="0083449B" w:rsidP="0083449B">
      <w:pPr>
        <w:spacing w:after="0" w:line="240" w:lineRule="auto"/>
        <w:ind w:left="851" w:right="140" w:firstLine="0"/>
        <w:contextualSpacing/>
        <w:rPr>
          <w:sz w:val="20"/>
        </w:rPr>
      </w:pPr>
      <w:r w:rsidRPr="00D03F51">
        <w:rPr>
          <w:b/>
          <w:sz w:val="20"/>
        </w:rPr>
        <w:t>Fonte:</w:t>
      </w:r>
      <w:r w:rsidRPr="00326CD3">
        <w:rPr>
          <w:sz w:val="20"/>
        </w:rPr>
        <w:t xml:space="preserve"> </w:t>
      </w:r>
      <w:r>
        <w:rPr>
          <w:bCs/>
          <w:sz w:val="20"/>
          <w:szCs w:val="20"/>
        </w:rPr>
        <w:t>Pesquisa de campo</w:t>
      </w:r>
      <w:r w:rsidRPr="0097636C">
        <w:rPr>
          <w:bCs/>
          <w:sz w:val="20"/>
          <w:szCs w:val="20"/>
        </w:rPr>
        <w:t>.</w:t>
      </w:r>
    </w:p>
    <w:p w:rsidR="0014794B" w:rsidRDefault="0083449B" w:rsidP="0083449B">
      <w:pPr>
        <w:spacing w:after="0" w:line="240" w:lineRule="auto"/>
        <w:ind w:left="851" w:right="140" w:firstLine="0"/>
        <w:rPr>
          <w:szCs w:val="18"/>
        </w:rPr>
      </w:pPr>
      <w:r>
        <w:rPr>
          <w:b/>
          <w:sz w:val="20"/>
        </w:rPr>
        <w:t>NCEP-ATPIII:</w:t>
      </w:r>
      <w:r>
        <w:rPr>
          <w:sz w:val="20"/>
        </w:rPr>
        <w:t xml:space="preserve"> Third Report of the National Cholesterol Education Program; </w:t>
      </w:r>
      <w:r>
        <w:rPr>
          <w:b/>
          <w:sz w:val="20"/>
        </w:rPr>
        <w:t>IDF:</w:t>
      </w:r>
      <w:r>
        <w:rPr>
          <w:sz w:val="20"/>
        </w:rPr>
        <w:t xml:space="preserve"> Federação Internacional de Diabetes; </w:t>
      </w:r>
      <w:r>
        <w:rPr>
          <w:b/>
          <w:sz w:val="20"/>
        </w:rPr>
        <w:t>JIS:</w:t>
      </w:r>
      <w:r>
        <w:rPr>
          <w:sz w:val="20"/>
        </w:rPr>
        <w:t xml:space="preserve"> Joint Interim Statement.</w:t>
      </w:r>
    </w:p>
    <w:p w:rsidR="00344A32" w:rsidRDefault="00344A32" w:rsidP="00344A32">
      <w:pPr>
        <w:spacing w:after="0"/>
        <w:ind w:firstLine="0"/>
        <w:contextualSpacing/>
        <w:rPr>
          <w:b/>
        </w:rPr>
      </w:pPr>
    </w:p>
    <w:p w:rsidR="005C382A" w:rsidRPr="00344A32" w:rsidRDefault="00344A32" w:rsidP="00344A32">
      <w:pPr>
        <w:pStyle w:val="PargrafodaLista"/>
        <w:numPr>
          <w:ilvl w:val="0"/>
          <w:numId w:val="8"/>
        </w:numPr>
        <w:spacing w:after="0"/>
        <w:rPr>
          <w:b/>
        </w:rPr>
      </w:pPr>
      <w:r w:rsidRPr="00344A32">
        <w:rPr>
          <w:b/>
        </w:rPr>
        <w:t>DI</w:t>
      </w:r>
      <w:r w:rsidR="0083449B">
        <w:rPr>
          <w:b/>
        </w:rPr>
        <w:t>S</w:t>
      </w:r>
      <w:r w:rsidRPr="00344A32">
        <w:rPr>
          <w:b/>
        </w:rPr>
        <w:t>CUSSÃO</w:t>
      </w:r>
    </w:p>
    <w:p w:rsidR="0083449B" w:rsidRDefault="0083449B" w:rsidP="008A5808">
      <w:pPr>
        <w:spacing w:after="0"/>
        <w:rPr>
          <w:bCs/>
          <w:szCs w:val="24"/>
        </w:rPr>
      </w:pPr>
    </w:p>
    <w:p w:rsidR="004C0BCE" w:rsidRPr="004C0BCE" w:rsidRDefault="004C0BCE" w:rsidP="004C0BCE">
      <w:pPr>
        <w:spacing w:after="0"/>
        <w:rPr>
          <w:bCs/>
          <w:szCs w:val="24"/>
        </w:rPr>
      </w:pPr>
      <w:r w:rsidRPr="004C0BCE">
        <w:rPr>
          <w:bCs/>
          <w:szCs w:val="24"/>
        </w:rPr>
        <w:t>O diagnóstico da síndrome metabólica em idosos vem sendo muito estudado, porém, para realiza-lo há vários fatores que precisam ser avaliados como o s critérios que serão utilizados para classificar se há ou não a presença da SM e as características da população que será estudada (raça, idade, sexo e região onde residem) (BOLZAN, MACHADO e SCHUCH, 2017).</w:t>
      </w:r>
    </w:p>
    <w:p w:rsidR="004C0BCE" w:rsidRPr="004C0BCE" w:rsidRDefault="004C0BCE" w:rsidP="004C0BCE">
      <w:pPr>
        <w:spacing w:after="0"/>
        <w:rPr>
          <w:bCs/>
          <w:szCs w:val="24"/>
        </w:rPr>
      </w:pPr>
      <w:r w:rsidRPr="004C0BCE">
        <w:rPr>
          <w:bCs/>
          <w:szCs w:val="24"/>
        </w:rPr>
        <w:t xml:space="preserve">No presente estudo avaliou-se a presença de síndrome metabólica de acordo com os critérios NCEP-ATP III, IDF e JIS. Sendo assim, foi possível observar que a frequência de síndrome metabólica foi maior de acordo com o critério JIS, classificando 50% da população estudada, enquanto os critérios NCEP-ATP III e IDF classificaram 47,22%. No estudo realizado por Saad </w:t>
      </w:r>
      <w:r w:rsidRPr="000B6ACC">
        <w:rPr>
          <w:bCs/>
          <w:i/>
          <w:szCs w:val="24"/>
        </w:rPr>
        <w:t>et al</w:t>
      </w:r>
      <w:r w:rsidRPr="004C0BCE">
        <w:rPr>
          <w:bCs/>
          <w:szCs w:val="24"/>
        </w:rPr>
        <w:t xml:space="preserve"> (2013), com uma população de idosos em uma unidade ambulatorial no Rio de Janeiro, mostrou o critério JIS como o mais sensível, classificando 69,1% dos idosos. Essa maior prevalência ocorreu, provavelmente, pelo menor ponto de corte da circunferência abdominal (SAAD </w:t>
      </w:r>
      <w:r w:rsidRPr="000B6ACC">
        <w:rPr>
          <w:bCs/>
          <w:i/>
          <w:szCs w:val="24"/>
        </w:rPr>
        <w:t>et al.,</w:t>
      </w:r>
      <w:r w:rsidRPr="004C0BCE">
        <w:rPr>
          <w:bCs/>
          <w:szCs w:val="24"/>
        </w:rPr>
        <w:t xml:space="preserve"> 2013). Portanto, estes resultados tratam de um dado preocupante, devido a associação da síndrome metabólica com o aparecimento das doenças crônicas e por estar associada ao aumento da morbimortalidade dessa população.</w:t>
      </w:r>
    </w:p>
    <w:p w:rsidR="004C0BCE" w:rsidRPr="004C0BCE" w:rsidRDefault="004C0BCE" w:rsidP="004C0BCE">
      <w:pPr>
        <w:spacing w:after="0"/>
        <w:rPr>
          <w:bCs/>
          <w:szCs w:val="24"/>
        </w:rPr>
      </w:pPr>
      <w:r w:rsidRPr="004C0BCE">
        <w:rPr>
          <w:bCs/>
          <w:szCs w:val="24"/>
        </w:rPr>
        <w:lastRenderedPageBreak/>
        <w:t xml:space="preserve">Foi possível observar também, que o público feminino foi o mais predominante na população avaliada, sendo o mais participativo e com maior número de diagnósticos de síndrome metabólica, de acordo com os três critérios avaliados. No estudo de Zoraski </w:t>
      </w:r>
      <w:r w:rsidRPr="000B6ACC">
        <w:rPr>
          <w:bCs/>
          <w:i/>
          <w:szCs w:val="24"/>
        </w:rPr>
        <w:t>et al</w:t>
      </w:r>
      <w:r w:rsidRPr="004C0BCE">
        <w:rPr>
          <w:bCs/>
          <w:szCs w:val="24"/>
        </w:rPr>
        <w:t xml:space="preserve"> (2017), realizado em idosos de Nova Roma, Rio Grande do Sul, destacou-se maior participação do sexo feminino, correspondendo a 56% da população estudada.</w:t>
      </w:r>
    </w:p>
    <w:p w:rsidR="004C0BCE" w:rsidRPr="004C0BCE" w:rsidRDefault="004C0BCE" w:rsidP="004C0BCE">
      <w:pPr>
        <w:spacing w:after="0"/>
        <w:rPr>
          <w:bCs/>
          <w:szCs w:val="24"/>
        </w:rPr>
      </w:pPr>
      <w:r w:rsidRPr="004C0BCE">
        <w:rPr>
          <w:bCs/>
          <w:szCs w:val="24"/>
        </w:rPr>
        <w:t xml:space="preserve">Ibiapina </w:t>
      </w:r>
      <w:r w:rsidRPr="000B6ACC">
        <w:rPr>
          <w:bCs/>
          <w:i/>
          <w:szCs w:val="24"/>
        </w:rPr>
        <w:t>et al</w:t>
      </w:r>
      <w:r w:rsidRPr="004C0BCE">
        <w:rPr>
          <w:bCs/>
          <w:szCs w:val="24"/>
        </w:rPr>
        <w:t xml:space="preserve"> (2015) realizou um estudo com idosos que frequentavam um centro de convivência no município de Teresina, Piauí, e observou que o sexo feminino também era o mais prevalente, correspondendo a 85,23%. Segundo alguns estudos, as mulheres são as que mais buscam e utilizam dos serviços de saúde, seja porque se preocupam mais com a saúde e/ou porque tem mais iniciativa e facilidade de acesso a esses serviços (SANTOS; FERREIRA</w:t>
      </w:r>
      <w:r w:rsidR="000B6ACC">
        <w:rPr>
          <w:bCs/>
          <w:szCs w:val="24"/>
        </w:rPr>
        <w:t>;</w:t>
      </w:r>
      <w:r w:rsidRPr="004C0BCE">
        <w:rPr>
          <w:bCs/>
          <w:szCs w:val="24"/>
        </w:rPr>
        <w:t xml:space="preserve"> e MORI, 2017).</w:t>
      </w:r>
    </w:p>
    <w:p w:rsidR="004C0BCE" w:rsidRPr="004C0BCE" w:rsidRDefault="004C0BCE" w:rsidP="004C0BCE">
      <w:pPr>
        <w:spacing w:after="0"/>
        <w:rPr>
          <w:bCs/>
          <w:szCs w:val="24"/>
        </w:rPr>
      </w:pPr>
      <w:r w:rsidRPr="004C0BCE">
        <w:rPr>
          <w:bCs/>
          <w:szCs w:val="24"/>
        </w:rPr>
        <w:t>Segundo Rocha, Melo e Menezes (2016) é comprovado que a síndrome metabólica está diretamente relacionada a fatores de riscos externos, como hábitos alimentares inadequados, prática de atividade física insuficiente e presença hábitos como tabagismos e etilismo, contribuindo firmemente para o desenvolvimento de doenças crônicas não transmissíveis e em alterações significativas no perfil lipídico, acúmulo de gordura visceral, circunferência abdominal aumentada e alterações glicêmicas.</w:t>
      </w:r>
    </w:p>
    <w:p w:rsidR="004C0BCE" w:rsidRPr="004C0BCE" w:rsidRDefault="004C0BCE" w:rsidP="004C0BCE">
      <w:pPr>
        <w:spacing w:after="0"/>
        <w:rPr>
          <w:bCs/>
          <w:szCs w:val="24"/>
        </w:rPr>
      </w:pPr>
      <w:r w:rsidRPr="004C0BCE">
        <w:rPr>
          <w:bCs/>
          <w:szCs w:val="24"/>
        </w:rPr>
        <w:t xml:space="preserve">O critério idade também é um fator de risco que deve ser considerado, pois ele contribui para o aparecimento da síndrome, ou seja, a prevalência da síndrome aumenta progressivamente de acordo com o aumento da idade. Neste estudo, a faixa etária com maior frequência de SM foi a de 70 a 79 anos, de acordo com os três critérios estabelecidos. Porém, os estudos de Lopes (2004) e Nascimento </w:t>
      </w:r>
      <w:r w:rsidRPr="000B6ACC">
        <w:rPr>
          <w:bCs/>
          <w:i/>
          <w:szCs w:val="24"/>
        </w:rPr>
        <w:t>et al</w:t>
      </w:r>
      <w:r w:rsidRPr="004C0BCE">
        <w:rPr>
          <w:bCs/>
          <w:szCs w:val="24"/>
        </w:rPr>
        <w:t xml:space="preserve"> (2017) destacam a faixa etária dos 60 a 69 anos como a mais prevalente. </w:t>
      </w:r>
    </w:p>
    <w:p w:rsidR="004C0BCE" w:rsidRPr="004C0BCE" w:rsidRDefault="004C0BCE" w:rsidP="004C0BCE">
      <w:pPr>
        <w:spacing w:after="0"/>
        <w:rPr>
          <w:bCs/>
          <w:szCs w:val="24"/>
        </w:rPr>
      </w:pPr>
      <w:r w:rsidRPr="004C0BCE">
        <w:rPr>
          <w:bCs/>
          <w:szCs w:val="24"/>
        </w:rPr>
        <w:t xml:space="preserve">Em relação aos componentes da SM, segundo o estudo realizado por Vieira, Peixoto e Silveira (2014), com idosos usuários do Sistema Único de Saúde (SUS), observou-se que as médias do IMC entre os idosos, separados por sexo, demonstraram que o sexo masculino se destacou com maiores valores quanto IMC (27,3 ± 5,2), CA (95,7 ± 11,5) e glicemia (116,7 ± 60,6), resultados que corroboram com os dados levantados. </w:t>
      </w:r>
    </w:p>
    <w:p w:rsidR="004C0BCE" w:rsidRPr="004C0BCE" w:rsidRDefault="004C0BCE" w:rsidP="004C0BCE">
      <w:pPr>
        <w:spacing w:after="0"/>
        <w:rPr>
          <w:bCs/>
          <w:szCs w:val="24"/>
        </w:rPr>
      </w:pPr>
      <w:r w:rsidRPr="004C0BCE">
        <w:rPr>
          <w:bCs/>
          <w:szCs w:val="24"/>
        </w:rPr>
        <w:t xml:space="preserve">Quanto ao perfil antropométrico, a avaliação do estado nutricional é capaz de diagnosticar alterações metabólicas, permitindo avaliar o grau de risco do indivíduo para o desenvolvimento de doenças crônicas não transmissíveis. A circunferência abdominal é um dos fatores que mais se relacionam com o desenvolvimento de doenças crônicas (MOTA </w:t>
      </w:r>
      <w:r w:rsidRPr="000B6ACC">
        <w:rPr>
          <w:bCs/>
          <w:i/>
          <w:szCs w:val="24"/>
        </w:rPr>
        <w:t>et al.,</w:t>
      </w:r>
      <w:r w:rsidRPr="004C0BCE">
        <w:rPr>
          <w:bCs/>
          <w:szCs w:val="24"/>
        </w:rPr>
        <w:t xml:space="preserve"> 2011). Assim, o estudo de Barroso </w:t>
      </w:r>
      <w:r w:rsidRPr="000B6ACC">
        <w:rPr>
          <w:bCs/>
          <w:i/>
          <w:szCs w:val="24"/>
        </w:rPr>
        <w:t>et al</w:t>
      </w:r>
      <w:r w:rsidRPr="004C0BCE">
        <w:rPr>
          <w:bCs/>
          <w:szCs w:val="24"/>
        </w:rPr>
        <w:t xml:space="preserve"> (2017) afirma que a obesidade central está associada a </w:t>
      </w:r>
      <w:r w:rsidRPr="004C0BCE">
        <w:rPr>
          <w:bCs/>
          <w:szCs w:val="24"/>
        </w:rPr>
        <w:lastRenderedPageBreak/>
        <w:t>doenças como diabetes, dislipidemias e hipertensão arterial sistêmica, contribuindo fortemente para complicações metabólicas e outros agravos a saúde.</w:t>
      </w:r>
    </w:p>
    <w:p w:rsidR="00344A32" w:rsidRDefault="004C0BCE" w:rsidP="004C0BCE">
      <w:pPr>
        <w:spacing w:after="0"/>
        <w:rPr>
          <w:bCs/>
          <w:szCs w:val="24"/>
          <w:highlight w:val="yellow"/>
        </w:rPr>
      </w:pPr>
      <w:r w:rsidRPr="004C0BCE">
        <w:rPr>
          <w:bCs/>
          <w:szCs w:val="24"/>
        </w:rPr>
        <w:t xml:space="preserve">Com o aumento da frequência de SM metabólica na população idosa, aumenta também o número de casos de comorbidades como diabetes e doenças cardiovasculares. Esse cenário reflete diretamente na saúde pública e exige que mudanças na assistência à saúde sejam realizadas, através da criação de programas e projetos educacionais que estabeleçam atividades que promovam mudanças no estilo de vida em busca de uma qualidade de </w:t>
      </w:r>
      <w:r>
        <w:rPr>
          <w:bCs/>
          <w:szCs w:val="24"/>
        </w:rPr>
        <w:t xml:space="preserve">vida melhor (FORD </w:t>
      </w:r>
      <w:r w:rsidRPr="000B6ACC">
        <w:rPr>
          <w:bCs/>
          <w:i/>
          <w:szCs w:val="24"/>
        </w:rPr>
        <w:t>et al.,</w:t>
      </w:r>
      <w:r>
        <w:rPr>
          <w:bCs/>
          <w:szCs w:val="24"/>
        </w:rPr>
        <w:t xml:space="preserve"> 2004)</w:t>
      </w:r>
      <w:r w:rsidR="00344A32">
        <w:rPr>
          <w:rFonts w:eastAsia="Times New Roman"/>
          <w:bCs/>
          <w:color w:val="000000"/>
          <w:szCs w:val="24"/>
          <w:lang w:eastAsia="pt-BR"/>
        </w:rPr>
        <w:t>.</w:t>
      </w:r>
      <w:r w:rsidR="00F25382">
        <w:rPr>
          <w:rFonts w:eastAsia="Times New Roman"/>
          <w:bCs/>
          <w:color w:val="000000"/>
          <w:szCs w:val="24"/>
          <w:lang w:eastAsia="pt-BR"/>
        </w:rPr>
        <w:t xml:space="preserve"> </w:t>
      </w:r>
    </w:p>
    <w:p w:rsidR="00344A32" w:rsidRDefault="00344A32" w:rsidP="00344A32">
      <w:pPr>
        <w:spacing w:after="0"/>
        <w:ind w:firstLine="0"/>
        <w:contextualSpacing/>
        <w:rPr>
          <w:b/>
        </w:rPr>
      </w:pPr>
    </w:p>
    <w:p w:rsidR="005C382A" w:rsidRPr="00344A32" w:rsidRDefault="005C382A" w:rsidP="00344A32">
      <w:pPr>
        <w:pStyle w:val="PargrafodaLista"/>
        <w:numPr>
          <w:ilvl w:val="0"/>
          <w:numId w:val="8"/>
        </w:numPr>
        <w:spacing w:after="0"/>
        <w:rPr>
          <w:b/>
        </w:rPr>
      </w:pPr>
      <w:r w:rsidRPr="00344A32">
        <w:rPr>
          <w:b/>
        </w:rPr>
        <w:t>CON</w:t>
      </w:r>
      <w:r w:rsidR="00344A32" w:rsidRPr="00344A32">
        <w:rPr>
          <w:b/>
        </w:rPr>
        <w:t>CLUSÃO</w:t>
      </w:r>
    </w:p>
    <w:p w:rsidR="00592189" w:rsidRDefault="00592189" w:rsidP="005C382A">
      <w:pPr>
        <w:autoSpaceDE w:val="0"/>
        <w:autoSpaceDN w:val="0"/>
        <w:adjustRightInd w:val="0"/>
        <w:spacing w:after="0"/>
        <w:rPr>
          <w:szCs w:val="24"/>
        </w:rPr>
      </w:pPr>
    </w:p>
    <w:p w:rsidR="00B83901" w:rsidRDefault="00B83901" w:rsidP="00B83901">
      <w:pPr>
        <w:autoSpaceDE w:val="0"/>
        <w:autoSpaceDN w:val="0"/>
        <w:adjustRightInd w:val="0"/>
        <w:spacing w:after="0"/>
        <w:rPr>
          <w:rFonts w:eastAsia="Times New Roman"/>
          <w:bCs/>
          <w:color w:val="000000"/>
          <w:szCs w:val="24"/>
          <w:lang w:eastAsia="pt-BR"/>
        </w:rPr>
      </w:pPr>
      <w:r>
        <w:rPr>
          <w:szCs w:val="24"/>
        </w:rPr>
        <w:t xml:space="preserve">A frequência de SM nos idosos participantes da pesquisa foi demostrada nos três </w:t>
      </w:r>
      <w:r>
        <w:rPr>
          <w:rFonts w:eastAsia="Times New Roman"/>
          <w:bCs/>
          <w:color w:val="000000"/>
          <w:szCs w:val="24"/>
          <w:lang w:eastAsia="pt-BR"/>
        </w:rPr>
        <w:t>critérios diagnósticos, mostrando-se mais sensível ao critério JIS.</w:t>
      </w:r>
    </w:p>
    <w:p w:rsidR="00B83901" w:rsidRDefault="00B83901" w:rsidP="00B83901">
      <w:pPr>
        <w:autoSpaceDE w:val="0"/>
        <w:autoSpaceDN w:val="0"/>
        <w:adjustRightInd w:val="0"/>
        <w:spacing w:after="0"/>
        <w:rPr>
          <w:rFonts w:eastAsia="Times New Roman"/>
          <w:bCs/>
          <w:color w:val="000000"/>
          <w:szCs w:val="24"/>
          <w:lang w:eastAsia="pt-BR"/>
        </w:rPr>
      </w:pPr>
      <w:r>
        <w:rPr>
          <w:rFonts w:eastAsia="Times New Roman"/>
          <w:bCs/>
          <w:color w:val="000000"/>
          <w:szCs w:val="24"/>
          <w:lang w:eastAsia="pt-BR"/>
        </w:rPr>
        <w:t>Dos indivíduos avaliados, as mulheres apresentaram maior participação no projeto e quanto ao nível de atividade física. Além do sexo feminino ser o mais participativo, ele apresentou maior frequência quanto a classificação de SM nos três critérios avaliados.</w:t>
      </w:r>
    </w:p>
    <w:p w:rsidR="00B83901" w:rsidRDefault="00B83901" w:rsidP="00B83901">
      <w:pPr>
        <w:autoSpaceDE w:val="0"/>
        <w:autoSpaceDN w:val="0"/>
        <w:adjustRightInd w:val="0"/>
        <w:spacing w:after="0"/>
        <w:rPr>
          <w:szCs w:val="24"/>
        </w:rPr>
      </w:pPr>
      <w:r>
        <w:rPr>
          <w:szCs w:val="24"/>
        </w:rPr>
        <w:t>A síndrome metabólica está relacionada diretamente</w:t>
      </w:r>
      <w:r w:rsidR="008A0990">
        <w:rPr>
          <w:szCs w:val="24"/>
        </w:rPr>
        <w:t xml:space="preserve"> com</w:t>
      </w:r>
      <w:r>
        <w:rPr>
          <w:szCs w:val="24"/>
        </w:rPr>
        <w:t xml:space="preserve"> a</w:t>
      </w:r>
      <w:r w:rsidR="008A0990">
        <w:rPr>
          <w:szCs w:val="24"/>
        </w:rPr>
        <w:t>s</w:t>
      </w:r>
      <w:r>
        <w:rPr>
          <w:szCs w:val="24"/>
        </w:rPr>
        <w:t xml:space="preserve"> </w:t>
      </w:r>
      <w:r w:rsidR="008A0990">
        <w:rPr>
          <w:szCs w:val="24"/>
        </w:rPr>
        <w:t xml:space="preserve">doenças crônicas não transmissíveis </w:t>
      </w:r>
      <w:r>
        <w:rPr>
          <w:szCs w:val="24"/>
        </w:rPr>
        <w:t>e aos componentes essenciais que a caracterizam como obesidade abdominal, alterações glicêmicas, hipertensão arterial sistêmica e dislipidemia. Além de sofrer influência de fatores externos como hábitos alimentares inadequados, tabagismo, etilismo e inatividade física. Quanto maior a prevalência desses componentes no indivíduo, maiores são as chances de desenvolver comorbidades como diabetes mellitus, doenças cardiovasculares, aterosclerose, esteatose hepática, entre outras.</w:t>
      </w:r>
    </w:p>
    <w:p w:rsidR="00B83901" w:rsidRDefault="00B83901" w:rsidP="00B83901">
      <w:pPr>
        <w:autoSpaceDE w:val="0"/>
        <w:autoSpaceDN w:val="0"/>
        <w:adjustRightInd w:val="0"/>
        <w:spacing w:after="0"/>
        <w:rPr>
          <w:szCs w:val="24"/>
        </w:rPr>
      </w:pPr>
      <w:r>
        <w:rPr>
          <w:szCs w:val="24"/>
        </w:rPr>
        <w:t>A presença desses fatores de risco nos idosos já são esperadas em decorrência de alterações metabólicas e fisiológicas consequentes do processo de envelhecimento.</w:t>
      </w:r>
    </w:p>
    <w:p w:rsidR="00B83901" w:rsidRDefault="00B83901" w:rsidP="00B83901">
      <w:pPr>
        <w:autoSpaceDE w:val="0"/>
        <w:autoSpaceDN w:val="0"/>
        <w:adjustRightInd w:val="0"/>
        <w:spacing w:after="0"/>
        <w:rPr>
          <w:szCs w:val="24"/>
        </w:rPr>
      </w:pPr>
      <w:r>
        <w:rPr>
          <w:szCs w:val="24"/>
        </w:rPr>
        <w:t>As mudanças desses fatores atuam como medidas preventivas que devem ser adotadas a fim de diminuir a prevalência desse agravo e minimizar os impactos na saúde dos idosos. Destaca-se como ações a identificação precoce dos principais fatores de risco que causam morbidade nesse público, além do controle e acompanhamento efetivo dos mesmos a nível de atenção básica, objetivando promover um controle mais eficiente da síndrome metabólica.</w:t>
      </w:r>
    </w:p>
    <w:p w:rsidR="00B83901" w:rsidRDefault="00B83901" w:rsidP="00B83901">
      <w:pPr>
        <w:autoSpaceDE w:val="0"/>
        <w:autoSpaceDN w:val="0"/>
        <w:adjustRightInd w:val="0"/>
        <w:spacing w:after="0"/>
        <w:rPr>
          <w:szCs w:val="24"/>
        </w:rPr>
      </w:pPr>
      <w:r>
        <w:rPr>
          <w:szCs w:val="24"/>
        </w:rPr>
        <w:t xml:space="preserve">Este trabalho contribuirá de forma positiva para uma melhor avaliação desse público, tanto da parte da Nutrição quanto da equipe multiprofissional que realiza o atendimento aos participantes do Projeto AMI, através de uma sistematização do atendimento, desde a escolha </w:t>
      </w:r>
      <w:r>
        <w:rPr>
          <w:szCs w:val="24"/>
        </w:rPr>
        <w:lastRenderedPageBreak/>
        <w:t>do melhor critério diagnóstico até o desenvolvimento de medidas preventivas e terapêuticas que visam promover mudanças de comportamento e melhor qualidade de vida.</w:t>
      </w:r>
    </w:p>
    <w:p w:rsidR="00B83901" w:rsidRPr="005516EA" w:rsidRDefault="00B83901" w:rsidP="00B83901">
      <w:r>
        <w:rPr>
          <w:szCs w:val="24"/>
        </w:rPr>
        <w:t xml:space="preserve">Assim sendo, é importante que a população idosa seja incentivada a realizar mudanças no estilo de vida, quanto à adoção de hábitos alimentares mais saudáveis associados à prática de atividade física, visando intensificar estratégias de prevenção e promoção a saúde. Além, também, de incentivá-los a participar de projetos sociais, voltados a esse público, onde são </w:t>
      </w:r>
      <w:r w:rsidR="00675C92">
        <w:rPr>
          <w:szCs w:val="24"/>
        </w:rPr>
        <w:t>realizadas</w:t>
      </w:r>
      <w:r>
        <w:rPr>
          <w:szCs w:val="24"/>
        </w:rPr>
        <w:t xml:space="preserve"> palestras educativas, atividades culturais e de socialização, oficinas de promoção a saúde e cidadania através de metodologias interativas que despertem o interesse em participar, visando estabelecer medidas preventivas, terapêuticas e reabilitadoras.</w:t>
      </w:r>
    </w:p>
    <w:p w:rsidR="00C97E7C" w:rsidRDefault="00C97E7C" w:rsidP="00C74616">
      <w:pPr>
        <w:spacing w:after="0"/>
        <w:contextualSpacing/>
        <w:rPr>
          <w:b/>
        </w:rPr>
      </w:pPr>
    </w:p>
    <w:p w:rsidR="005C382A" w:rsidRDefault="00C74616" w:rsidP="00C74616">
      <w:pPr>
        <w:spacing w:after="0"/>
        <w:ind w:firstLine="0"/>
        <w:contextualSpacing/>
        <w:rPr>
          <w:b/>
        </w:rPr>
      </w:pPr>
      <w:r>
        <w:rPr>
          <w:b/>
        </w:rPr>
        <w:t>REFERÊ</w:t>
      </w:r>
      <w:r w:rsidR="005C382A">
        <w:rPr>
          <w:b/>
        </w:rPr>
        <w:t>NCIAS</w:t>
      </w:r>
    </w:p>
    <w:p w:rsidR="009449C4" w:rsidRDefault="009449C4" w:rsidP="00C74616">
      <w:pPr>
        <w:spacing w:after="0"/>
        <w:ind w:firstLine="0"/>
        <w:contextualSpacing/>
        <w:rPr>
          <w:b/>
        </w:rPr>
      </w:pPr>
    </w:p>
    <w:p w:rsidR="004302F6" w:rsidRPr="004302F6" w:rsidRDefault="004302F6" w:rsidP="004302F6">
      <w:pPr>
        <w:pStyle w:val="Ttulo"/>
        <w:jc w:val="left"/>
        <w:rPr>
          <w:rFonts w:ascii="Times New Roman" w:hAnsi="Times New Roman" w:cs="Times New Roman"/>
          <w:b w:val="0"/>
          <w:u w:val="none"/>
        </w:rPr>
      </w:pPr>
      <w:r w:rsidRPr="004302F6">
        <w:rPr>
          <w:rFonts w:ascii="Times New Roman" w:hAnsi="Times New Roman" w:cs="Times New Roman"/>
          <w:b w:val="0"/>
          <w:u w:val="none"/>
        </w:rPr>
        <w:t>BARROSO, T</w:t>
      </w:r>
      <w:r w:rsidR="00C97E7C">
        <w:rPr>
          <w:rFonts w:ascii="Times New Roman" w:hAnsi="Times New Roman" w:cs="Times New Roman"/>
          <w:b w:val="0"/>
          <w:u w:val="none"/>
        </w:rPr>
        <w:t>. A.; MARINS, L. B.; ALVES, R.; GONÇALVES, A. C. S.; BARROSO, S. G.; ROCHA, G. S. Associação entre a obesidade central e a incidência de doenças e f</w:t>
      </w:r>
      <w:r w:rsidRPr="004302F6">
        <w:rPr>
          <w:rFonts w:ascii="Times New Roman" w:hAnsi="Times New Roman" w:cs="Times New Roman"/>
          <w:b w:val="0"/>
          <w:u w:val="none"/>
        </w:rPr>
        <w:t>atores de</w:t>
      </w:r>
    </w:p>
    <w:p w:rsidR="004302F6" w:rsidRDefault="00C97E7C" w:rsidP="004302F6">
      <w:pPr>
        <w:pStyle w:val="Ttulo"/>
        <w:jc w:val="left"/>
        <w:rPr>
          <w:rFonts w:ascii="Times New Roman" w:hAnsi="Times New Roman" w:cs="Times New Roman"/>
          <w:b w:val="0"/>
          <w:u w:val="none"/>
        </w:rPr>
      </w:pPr>
      <w:proofErr w:type="gramStart"/>
      <w:r>
        <w:rPr>
          <w:rFonts w:ascii="Times New Roman" w:hAnsi="Times New Roman" w:cs="Times New Roman"/>
          <w:b w:val="0"/>
          <w:u w:val="none"/>
        </w:rPr>
        <w:t>risco</w:t>
      </w:r>
      <w:proofErr w:type="gramEnd"/>
      <w:r>
        <w:rPr>
          <w:rFonts w:ascii="Times New Roman" w:hAnsi="Times New Roman" w:cs="Times New Roman"/>
          <w:b w:val="0"/>
          <w:u w:val="none"/>
        </w:rPr>
        <w:t xml:space="preserve"> c</w:t>
      </w:r>
      <w:r w:rsidR="004302F6" w:rsidRPr="004302F6">
        <w:rPr>
          <w:rFonts w:ascii="Times New Roman" w:hAnsi="Times New Roman" w:cs="Times New Roman"/>
          <w:b w:val="0"/>
          <w:u w:val="none"/>
        </w:rPr>
        <w:t xml:space="preserve">ardiovascular. </w:t>
      </w:r>
      <w:r w:rsidR="004302F6" w:rsidRPr="00C97E7C">
        <w:rPr>
          <w:rFonts w:ascii="Times New Roman" w:hAnsi="Times New Roman" w:cs="Times New Roman"/>
          <w:b w:val="0"/>
          <w:i/>
          <w:u w:val="none"/>
        </w:rPr>
        <w:t>Int</w:t>
      </w:r>
      <w:r w:rsidRPr="00C97E7C">
        <w:rPr>
          <w:rFonts w:ascii="Times New Roman" w:hAnsi="Times New Roman" w:cs="Times New Roman"/>
          <w:b w:val="0"/>
          <w:i/>
          <w:u w:val="none"/>
        </w:rPr>
        <w:t>. J.</w:t>
      </w:r>
      <w:r w:rsidR="004302F6" w:rsidRPr="00C97E7C">
        <w:rPr>
          <w:rFonts w:ascii="Times New Roman" w:hAnsi="Times New Roman" w:cs="Times New Roman"/>
          <w:b w:val="0"/>
          <w:i/>
          <w:u w:val="none"/>
        </w:rPr>
        <w:t xml:space="preserve"> Cardiovasc</w:t>
      </w:r>
      <w:r w:rsidRPr="00C97E7C">
        <w:rPr>
          <w:rFonts w:ascii="Times New Roman" w:hAnsi="Times New Roman" w:cs="Times New Roman"/>
          <w:b w:val="0"/>
          <w:i/>
          <w:u w:val="none"/>
        </w:rPr>
        <w:t>.</w:t>
      </w:r>
      <w:r w:rsidR="004302F6" w:rsidRPr="00C97E7C">
        <w:rPr>
          <w:rFonts w:ascii="Times New Roman" w:hAnsi="Times New Roman" w:cs="Times New Roman"/>
          <w:b w:val="0"/>
          <w:i/>
          <w:u w:val="none"/>
        </w:rPr>
        <w:t xml:space="preserve"> Sci</w:t>
      </w:r>
      <w:r w:rsidRPr="00C97E7C">
        <w:rPr>
          <w:rFonts w:ascii="Times New Roman" w:hAnsi="Times New Roman" w:cs="Times New Roman"/>
          <w:b w:val="0"/>
          <w:i/>
          <w:u w:val="none"/>
        </w:rPr>
        <w:t>.</w:t>
      </w:r>
      <w:r w:rsidR="004302F6" w:rsidRPr="00C97E7C">
        <w:rPr>
          <w:rFonts w:ascii="Times New Roman" w:hAnsi="Times New Roman" w:cs="Times New Roman"/>
          <w:b w:val="0"/>
          <w:i/>
          <w:u w:val="none"/>
        </w:rPr>
        <w:t>,</w:t>
      </w:r>
      <w:r w:rsidR="004302F6" w:rsidRPr="004302F6">
        <w:rPr>
          <w:rFonts w:ascii="Times New Roman" w:hAnsi="Times New Roman" w:cs="Times New Roman"/>
          <w:b w:val="0"/>
          <w:u w:val="none"/>
        </w:rPr>
        <w:t xml:space="preserve"> v. 30, n. 5, p. 416-424,</w:t>
      </w:r>
      <w:r>
        <w:rPr>
          <w:rFonts w:ascii="Times New Roman" w:hAnsi="Times New Roman" w:cs="Times New Roman"/>
          <w:b w:val="0"/>
          <w:u w:val="none"/>
        </w:rPr>
        <w:t xml:space="preserve"> </w:t>
      </w:r>
      <w:r w:rsidR="004302F6" w:rsidRPr="004302F6">
        <w:rPr>
          <w:rFonts w:ascii="Times New Roman" w:hAnsi="Times New Roman" w:cs="Times New Roman"/>
          <w:b w:val="0"/>
          <w:u w:val="none"/>
        </w:rPr>
        <w:t>2017.</w:t>
      </w:r>
    </w:p>
    <w:p w:rsidR="004302F6" w:rsidRDefault="004302F6" w:rsidP="00900DDF">
      <w:pPr>
        <w:pStyle w:val="Ttulo"/>
        <w:jc w:val="left"/>
        <w:rPr>
          <w:rFonts w:ascii="Times New Roman" w:hAnsi="Times New Roman" w:cs="Times New Roman"/>
          <w:b w:val="0"/>
          <w:u w:val="none"/>
        </w:rPr>
      </w:pPr>
    </w:p>
    <w:p w:rsidR="001131FF" w:rsidRPr="004302F6" w:rsidRDefault="001131FF" w:rsidP="00900DDF">
      <w:pPr>
        <w:pStyle w:val="Ttulo"/>
        <w:jc w:val="left"/>
        <w:rPr>
          <w:rFonts w:ascii="Times New Roman" w:hAnsi="Times New Roman" w:cs="Times New Roman"/>
          <w:b w:val="0"/>
          <w:u w:val="none"/>
        </w:rPr>
      </w:pPr>
      <w:r w:rsidRPr="004302F6">
        <w:rPr>
          <w:rFonts w:ascii="Times New Roman" w:hAnsi="Times New Roman" w:cs="Times New Roman"/>
          <w:b w:val="0"/>
          <w:u w:val="none"/>
        </w:rPr>
        <w:t xml:space="preserve">BOLZAN, A. G.; MACHADO, L.; SCHUCH, N. J. </w:t>
      </w:r>
      <w:r w:rsidR="00A37D49" w:rsidRPr="004302F6">
        <w:rPr>
          <w:rFonts w:ascii="Times New Roman" w:hAnsi="Times New Roman" w:cs="Times New Roman"/>
          <w:b w:val="0"/>
          <w:u w:val="none"/>
        </w:rPr>
        <w:t>Car</w:t>
      </w:r>
      <w:r w:rsidRPr="004302F6">
        <w:rPr>
          <w:rFonts w:ascii="Times New Roman" w:hAnsi="Times New Roman" w:cs="Times New Roman"/>
          <w:b w:val="0"/>
          <w:u w:val="none"/>
        </w:rPr>
        <w:t xml:space="preserve">acterização dos componentes da síndrome metabólica em idosas segundo dois critérios diagnósticos. </w:t>
      </w:r>
      <w:r w:rsidRPr="004302F6">
        <w:rPr>
          <w:rFonts w:ascii="Times New Roman" w:hAnsi="Times New Roman" w:cs="Times New Roman"/>
          <w:b w:val="0"/>
          <w:i/>
          <w:u w:val="none"/>
        </w:rPr>
        <w:t>Disciplinarum Scientia.</w:t>
      </w:r>
      <w:r w:rsidRPr="004302F6">
        <w:rPr>
          <w:rFonts w:ascii="Times New Roman" w:hAnsi="Times New Roman" w:cs="Times New Roman"/>
          <w:b w:val="0"/>
          <w:u w:val="none"/>
        </w:rPr>
        <w:t xml:space="preserve"> Série: Ciências da Saúde, Santa Maria, v. 18, n. 3, p. 585-592. 2017.</w:t>
      </w:r>
    </w:p>
    <w:p w:rsidR="00900DDF" w:rsidRPr="004302F6" w:rsidRDefault="00900DDF" w:rsidP="00900DDF">
      <w:pPr>
        <w:pStyle w:val="Ttulo"/>
        <w:jc w:val="left"/>
        <w:rPr>
          <w:rFonts w:ascii="Times New Roman" w:hAnsi="Times New Roman" w:cs="Times New Roman"/>
          <w:b w:val="0"/>
        </w:rPr>
      </w:pPr>
    </w:p>
    <w:p w:rsidR="005C382A" w:rsidRPr="004302F6" w:rsidRDefault="005C382A" w:rsidP="00900DDF">
      <w:pPr>
        <w:pStyle w:val="Ttulo"/>
        <w:jc w:val="left"/>
        <w:rPr>
          <w:rFonts w:ascii="Times New Roman" w:hAnsi="Times New Roman" w:cs="Times New Roman"/>
          <w:b w:val="0"/>
          <w:u w:val="none"/>
        </w:rPr>
      </w:pPr>
      <w:r w:rsidRPr="004302F6">
        <w:rPr>
          <w:rFonts w:ascii="Times New Roman" w:hAnsi="Times New Roman" w:cs="Times New Roman"/>
          <w:b w:val="0"/>
          <w:u w:val="none"/>
        </w:rPr>
        <w:t xml:space="preserve">BRAZ, M; BARROS FILHO, A. A.; BARROS, M. B. A. Saúde dos adolescentes: um estudo de base populacional em Campinas, São Paulo, Brasil. </w:t>
      </w:r>
      <w:r w:rsidR="009A17A6" w:rsidRPr="004302F6">
        <w:rPr>
          <w:rFonts w:ascii="Times New Roman" w:hAnsi="Times New Roman" w:cs="Times New Roman"/>
          <w:b w:val="0"/>
          <w:i/>
          <w:u w:val="none"/>
        </w:rPr>
        <w:t>Cadernos de Saúde Pública,</w:t>
      </w:r>
      <w:r w:rsidRPr="004302F6">
        <w:rPr>
          <w:rFonts w:ascii="Times New Roman" w:hAnsi="Times New Roman" w:cs="Times New Roman"/>
          <w:b w:val="0"/>
          <w:u w:val="none"/>
        </w:rPr>
        <w:t xml:space="preserve"> v. 29, n.  9, p. 1877 – 1888. 2013.</w:t>
      </w:r>
    </w:p>
    <w:p w:rsidR="00FA463E" w:rsidRPr="004302F6" w:rsidRDefault="00FA463E" w:rsidP="00900DDF">
      <w:pPr>
        <w:pStyle w:val="Ttulo"/>
        <w:jc w:val="left"/>
        <w:rPr>
          <w:rFonts w:ascii="Times New Roman" w:hAnsi="Times New Roman" w:cs="Times New Roman"/>
          <w:b w:val="0"/>
          <w:u w:val="none"/>
        </w:rPr>
      </w:pPr>
    </w:p>
    <w:p w:rsidR="00FA463E" w:rsidRPr="004302F6" w:rsidRDefault="00FA463E" w:rsidP="00900DDF">
      <w:pPr>
        <w:pStyle w:val="Ttulo"/>
        <w:jc w:val="left"/>
        <w:rPr>
          <w:rFonts w:ascii="Times New Roman" w:hAnsi="Times New Roman" w:cs="Times New Roman"/>
          <w:b w:val="0"/>
          <w:u w:val="none"/>
        </w:rPr>
      </w:pPr>
      <w:r w:rsidRPr="004302F6">
        <w:rPr>
          <w:rFonts w:ascii="Times New Roman" w:hAnsi="Times New Roman" w:cs="Times New Roman"/>
          <w:b w:val="0"/>
          <w:u w:val="none"/>
        </w:rPr>
        <w:t xml:space="preserve">CALIXTO, S. C. S.; VINAGRE, R. M. F. D.; ROCHA, G. F.; FRANÇA, T. G. Prevalência da síndrome metabólica em idosos. </w:t>
      </w:r>
      <w:r w:rsidRPr="004302F6">
        <w:rPr>
          <w:rFonts w:ascii="Times New Roman" w:hAnsi="Times New Roman" w:cs="Times New Roman"/>
          <w:b w:val="0"/>
          <w:i/>
          <w:u w:val="none"/>
        </w:rPr>
        <w:t>Rev. Saúde em Foco,</w:t>
      </w:r>
      <w:r w:rsidRPr="004302F6">
        <w:rPr>
          <w:rFonts w:ascii="Times New Roman" w:hAnsi="Times New Roman" w:cs="Times New Roman"/>
          <w:b w:val="0"/>
          <w:u w:val="none"/>
        </w:rPr>
        <w:t xml:space="preserve"> Teresina, v. 3, n. 2, p. 119-135. Jul-</w:t>
      </w:r>
      <w:proofErr w:type="gramStart"/>
      <w:r w:rsidRPr="004302F6">
        <w:rPr>
          <w:rFonts w:ascii="Times New Roman" w:hAnsi="Times New Roman" w:cs="Times New Roman"/>
          <w:b w:val="0"/>
          <w:u w:val="none"/>
        </w:rPr>
        <w:t>Dez.</w:t>
      </w:r>
      <w:proofErr w:type="gramEnd"/>
      <w:r w:rsidRPr="004302F6">
        <w:rPr>
          <w:rFonts w:ascii="Times New Roman" w:hAnsi="Times New Roman" w:cs="Times New Roman"/>
          <w:b w:val="0"/>
          <w:u w:val="none"/>
        </w:rPr>
        <w:t xml:space="preserve"> 2016.</w:t>
      </w:r>
    </w:p>
    <w:p w:rsidR="00FA463E" w:rsidRPr="004302F6" w:rsidRDefault="00FA463E" w:rsidP="00900DDF">
      <w:pPr>
        <w:pStyle w:val="Ttulo"/>
        <w:jc w:val="left"/>
        <w:rPr>
          <w:rFonts w:ascii="Times New Roman" w:hAnsi="Times New Roman" w:cs="Times New Roman"/>
          <w:b w:val="0"/>
          <w:u w:val="none"/>
        </w:rPr>
      </w:pPr>
    </w:p>
    <w:p w:rsidR="00FA463E" w:rsidRPr="004302F6" w:rsidRDefault="00FA463E" w:rsidP="00FA463E">
      <w:pPr>
        <w:pStyle w:val="Ttulo"/>
        <w:jc w:val="left"/>
        <w:rPr>
          <w:rFonts w:ascii="Times New Roman" w:hAnsi="Times New Roman" w:cs="Times New Roman"/>
          <w:b w:val="0"/>
          <w:u w:val="none"/>
        </w:rPr>
      </w:pPr>
      <w:r w:rsidRPr="004302F6">
        <w:rPr>
          <w:rFonts w:ascii="Times New Roman" w:hAnsi="Times New Roman" w:cs="Times New Roman"/>
          <w:b w:val="0"/>
          <w:u w:val="none"/>
        </w:rPr>
        <w:t>FORD, E. S.; GILES, W. H.; MOKDAD, A. H. Increasing prevalence of the metabolic</w:t>
      </w:r>
    </w:p>
    <w:p w:rsidR="00FA463E" w:rsidRPr="004302F6" w:rsidRDefault="00FA463E" w:rsidP="00FA463E">
      <w:pPr>
        <w:pStyle w:val="Ttulo"/>
        <w:jc w:val="left"/>
        <w:rPr>
          <w:rFonts w:ascii="Times New Roman" w:hAnsi="Times New Roman" w:cs="Times New Roman"/>
          <w:b w:val="0"/>
          <w:u w:val="none"/>
        </w:rPr>
      </w:pPr>
      <w:proofErr w:type="gramStart"/>
      <w:r w:rsidRPr="004302F6">
        <w:rPr>
          <w:rFonts w:ascii="Times New Roman" w:hAnsi="Times New Roman" w:cs="Times New Roman"/>
          <w:b w:val="0"/>
          <w:u w:val="none"/>
        </w:rPr>
        <w:t>syndrome</w:t>
      </w:r>
      <w:proofErr w:type="gramEnd"/>
      <w:r w:rsidRPr="004302F6">
        <w:rPr>
          <w:rFonts w:ascii="Times New Roman" w:hAnsi="Times New Roman" w:cs="Times New Roman"/>
          <w:b w:val="0"/>
          <w:u w:val="none"/>
        </w:rPr>
        <w:t xml:space="preserve"> among US adults. </w:t>
      </w:r>
      <w:r w:rsidRPr="004302F6">
        <w:rPr>
          <w:rFonts w:ascii="Times New Roman" w:hAnsi="Times New Roman" w:cs="Times New Roman"/>
          <w:b w:val="0"/>
          <w:i/>
          <w:u w:val="none"/>
        </w:rPr>
        <w:t>Diabetes care,</w:t>
      </w:r>
      <w:r w:rsidRPr="004302F6">
        <w:rPr>
          <w:rFonts w:ascii="Times New Roman" w:hAnsi="Times New Roman" w:cs="Times New Roman"/>
          <w:b w:val="0"/>
          <w:u w:val="none"/>
        </w:rPr>
        <w:t xml:space="preserve"> v. 27, n. 10, p. 2444-2449, 2004.</w:t>
      </w:r>
    </w:p>
    <w:p w:rsidR="004302F6" w:rsidRPr="004302F6" w:rsidRDefault="004302F6" w:rsidP="00FA463E">
      <w:pPr>
        <w:pStyle w:val="Ttulo"/>
        <w:jc w:val="left"/>
        <w:rPr>
          <w:rFonts w:ascii="Times New Roman" w:hAnsi="Times New Roman" w:cs="Times New Roman"/>
          <w:b w:val="0"/>
          <w:u w:val="none"/>
        </w:rPr>
      </w:pPr>
    </w:p>
    <w:p w:rsidR="004302F6" w:rsidRPr="004302F6" w:rsidRDefault="004302F6" w:rsidP="00FA463E">
      <w:pPr>
        <w:pStyle w:val="Ttulo"/>
        <w:jc w:val="left"/>
        <w:rPr>
          <w:rFonts w:ascii="Times New Roman" w:hAnsi="Times New Roman" w:cs="Times New Roman"/>
          <w:b w:val="0"/>
          <w:u w:val="none"/>
        </w:rPr>
      </w:pPr>
      <w:r w:rsidRPr="004302F6">
        <w:rPr>
          <w:rFonts w:ascii="Times New Roman" w:hAnsi="Times New Roman" w:cs="Times New Roman"/>
          <w:b w:val="0"/>
          <w:u w:val="none"/>
        </w:rPr>
        <w:t xml:space="preserve">FREITAS, M. C.; QUEIROZ, T. A.; SOUSA, J. A. V. O significado da velhice e da experiência de envelhecer para idosos. </w:t>
      </w:r>
      <w:r w:rsidRPr="004302F6">
        <w:rPr>
          <w:rFonts w:ascii="Times New Roman" w:hAnsi="Times New Roman" w:cs="Times New Roman"/>
          <w:b w:val="0"/>
          <w:i/>
          <w:u w:val="none"/>
        </w:rPr>
        <w:t>Rev. Esc. Enferm. USP,</w:t>
      </w:r>
      <w:r w:rsidRPr="004302F6">
        <w:rPr>
          <w:rFonts w:ascii="Times New Roman" w:hAnsi="Times New Roman" w:cs="Times New Roman"/>
          <w:b w:val="0"/>
          <w:u w:val="none"/>
        </w:rPr>
        <w:t xml:space="preserve"> v. 44, n. 2, 2010.</w:t>
      </w:r>
    </w:p>
    <w:p w:rsidR="00900DDF" w:rsidRPr="004302F6" w:rsidRDefault="00900DDF" w:rsidP="00900DDF">
      <w:pPr>
        <w:pStyle w:val="Ttulo"/>
        <w:jc w:val="left"/>
        <w:rPr>
          <w:rFonts w:ascii="Times New Roman" w:hAnsi="Times New Roman" w:cs="Times New Roman"/>
          <w:b w:val="0"/>
          <w:u w:val="none"/>
        </w:rPr>
      </w:pPr>
    </w:p>
    <w:p w:rsidR="001131FF" w:rsidRDefault="001131FF" w:rsidP="00900DDF">
      <w:pPr>
        <w:pStyle w:val="Ttulo"/>
        <w:jc w:val="left"/>
        <w:rPr>
          <w:rFonts w:ascii="Times New Roman" w:hAnsi="Times New Roman" w:cs="Times New Roman"/>
          <w:b w:val="0"/>
          <w:u w:val="none"/>
        </w:rPr>
      </w:pPr>
      <w:r w:rsidRPr="004302F6">
        <w:rPr>
          <w:rFonts w:ascii="Times New Roman" w:hAnsi="Times New Roman" w:cs="Times New Roman"/>
          <w:b w:val="0"/>
          <w:u w:val="none"/>
        </w:rPr>
        <w:t xml:space="preserve">IBIAPINA, D. F. N.; ALVES, E. L. M.; MOURA, M. E. B.; SANTOS, R. S.; TAPETY, F. I. Prevalência da síndrome metabólica em idosos. </w:t>
      </w:r>
      <w:r w:rsidRPr="004302F6">
        <w:rPr>
          <w:rFonts w:ascii="Times New Roman" w:hAnsi="Times New Roman" w:cs="Times New Roman"/>
          <w:b w:val="0"/>
          <w:i/>
          <w:u w:val="none"/>
        </w:rPr>
        <w:t xml:space="preserve">Revista de enfermagem UFPE </w:t>
      </w:r>
      <w:r w:rsidR="009A17A6" w:rsidRPr="004302F6">
        <w:rPr>
          <w:rFonts w:ascii="Times New Roman" w:hAnsi="Times New Roman" w:cs="Times New Roman"/>
          <w:b w:val="0"/>
          <w:u w:val="none"/>
        </w:rPr>
        <w:t>[</w:t>
      </w:r>
      <w:r w:rsidRPr="004302F6">
        <w:rPr>
          <w:rFonts w:ascii="Times New Roman" w:hAnsi="Times New Roman" w:cs="Times New Roman"/>
          <w:b w:val="0"/>
          <w:u w:val="none"/>
        </w:rPr>
        <w:t>online</w:t>
      </w:r>
      <w:r w:rsidR="009A17A6" w:rsidRPr="004302F6">
        <w:rPr>
          <w:rFonts w:ascii="Times New Roman" w:hAnsi="Times New Roman" w:cs="Times New Roman"/>
          <w:b w:val="0"/>
          <w:u w:val="none"/>
        </w:rPr>
        <w:t>]</w:t>
      </w:r>
      <w:r w:rsidRPr="004302F6">
        <w:rPr>
          <w:rFonts w:ascii="Times New Roman" w:hAnsi="Times New Roman" w:cs="Times New Roman"/>
          <w:b w:val="0"/>
          <w:u w:val="none"/>
        </w:rPr>
        <w:t>. Recife, v. 9 (Supl. 9), p. 9964-9970. 2015.</w:t>
      </w:r>
    </w:p>
    <w:p w:rsidR="004302F6" w:rsidRDefault="004302F6" w:rsidP="00900DDF">
      <w:pPr>
        <w:pStyle w:val="Ttulo"/>
        <w:jc w:val="left"/>
        <w:rPr>
          <w:rFonts w:ascii="Times New Roman" w:hAnsi="Times New Roman" w:cs="Times New Roman"/>
          <w:b w:val="0"/>
          <w:u w:val="none"/>
        </w:rPr>
      </w:pPr>
    </w:p>
    <w:p w:rsidR="004302F6" w:rsidRPr="004302F6" w:rsidRDefault="004302F6" w:rsidP="004302F6">
      <w:pPr>
        <w:pStyle w:val="Ttulo"/>
        <w:jc w:val="left"/>
        <w:rPr>
          <w:rFonts w:ascii="Times New Roman" w:hAnsi="Times New Roman" w:cs="Times New Roman"/>
          <w:b w:val="0"/>
          <w:u w:val="none"/>
        </w:rPr>
      </w:pPr>
      <w:r w:rsidRPr="004302F6">
        <w:rPr>
          <w:rFonts w:ascii="Times New Roman" w:hAnsi="Times New Roman" w:cs="Times New Roman"/>
          <w:b w:val="0"/>
          <w:u w:val="none"/>
        </w:rPr>
        <w:t>L</w:t>
      </w:r>
      <w:r>
        <w:rPr>
          <w:rFonts w:ascii="Times New Roman" w:hAnsi="Times New Roman" w:cs="Times New Roman"/>
          <w:b w:val="0"/>
          <w:u w:val="none"/>
        </w:rPr>
        <w:t>OPES,</w:t>
      </w:r>
      <w:r w:rsidRPr="004302F6">
        <w:rPr>
          <w:rFonts w:ascii="Times New Roman" w:hAnsi="Times New Roman" w:cs="Times New Roman"/>
          <w:b w:val="0"/>
          <w:u w:val="none"/>
        </w:rPr>
        <w:t xml:space="preserve"> H</w:t>
      </w:r>
      <w:r>
        <w:rPr>
          <w:rFonts w:ascii="Times New Roman" w:hAnsi="Times New Roman" w:cs="Times New Roman"/>
          <w:b w:val="0"/>
          <w:u w:val="none"/>
        </w:rPr>
        <w:t xml:space="preserve">. </w:t>
      </w:r>
      <w:r w:rsidRPr="004302F6">
        <w:rPr>
          <w:rFonts w:ascii="Times New Roman" w:hAnsi="Times New Roman" w:cs="Times New Roman"/>
          <w:b w:val="0"/>
          <w:u w:val="none"/>
        </w:rPr>
        <w:t>F. Síndrome metabólica: aspectos históricos, prevalência,</w:t>
      </w:r>
      <w:r>
        <w:rPr>
          <w:rFonts w:ascii="Times New Roman" w:hAnsi="Times New Roman" w:cs="Times New Roman"/>
          <w:b w:val="0"/>
          <w:u w:val="none"/>
        </w:rPr>
        <w:t xml:space="preserve"> morbidade e mortalidade. </w:t>
      </w:r>
      <w:r w:rsidRPr="004302F6">
        <w:rPr>
          <w:rFonts w:ascii="Times New Roman" w:hAnsi="Times New Roman" w:cs="Times New Roman"/>
          <w:b w:val="0"/>
          <w:i/>
          <w:u w:val="none"/>
        </w:rPr>
        <w:t>Rev</w:t>
      </w:r>
      <w:r>
        <w:rPr>
          <w:rFonts w:ascii="Times New Roman" w:hAnsi="Times New Roman" w:cs="Times New Roman"/>
          <w:b w:val="0"/>
          <w:i/>
          <w:u w:val="none"/>
        </w:rPr>
        <w:t>.</w:t>
      </w:r>
      <w:r w:rsidRPr="004302F6">
        <w:rPr>
          <w:rFonts w:ascii="Times New Roman" w:hAnsi="Times New Roman" w:cs="Times New Roman"/>
          <w:b w:val="0"/>
          <w:i/>
          <w:u w:val="none"/>
        </w:rPr>
        <w:t xml:space="preserve"> da Soc</w:t>
      </w:r>
      <w:r>
        <w:rPr>
          <w:rFonts w:ascii="Times New Roman" w:hAnsi="Times New Roman" w:cs="Times New Roman"/>
          <w:b w:val="0"/>
          <w:i/>
          <w:u w:val="none"/>
        </w:rPr>
        <w:t>.</w:t>
      </w:r>
      <w:r w:rsidRPr="004302F6">
        <w:rPr>
          <w:rFonts w:ascii="Times New Roman" w:hAnsi="Times New Roman" w:cs="Times New Roman"/>
          <w:b w:val="0"/>
          <w:i/>
          <w:u w:val="none"/>
        </w:rPr>
        <w:t xml:space="preserve"> Cardiol</w:t>
      </w:r>
      <w:r>
        <w:rPr>
          <w:rFonts w:ascii="Times New Roman" w:hAnsi="Times New Roman" w:cs="Times New Roman"/>
          <w:b w:val="0"/>
          <w:i/>
          <w:u w:val="none"/>
        </w:rPr>
        <w:t>.</w:t>
      </w:r>
      <w:r w:rsidRPr="004302F6">
        <w:rPr>
          <w:rFonts w:ascii="Times New Roman" w:hAnsi="Times New Roman" w:cs="Times New Roman"/>
          <w:b w:val="0"/>
          <w:i/>
          <w:u w:val="none"/>
        </w:rPr>
        <w:t xml:space="preserve"> do Estado de São Paulo,</w:t>
      </w:r>
      <w:r>
        <w:rPr>
          <w:rFonts w:ascii="Times New Roman" w:hAnsi="Times New Roman" w:cs="Times New Roman"/>
          <w:b w:val="0"/>
          <w:u w:val="none"/>
        </w:rPr>
        <w:t xml:space="preserve"> v.</w:t>
      </w:r>
      <w:r w:rsidRPr="004302F6">
        <w:rPr>
          <w:rFonts w:ascii="Times New Roman" w:hAnsi="Times New Roman" w:cs="Times New Roman"/>
          <w:b w:val="0"/>
          <w:u w:val="none"/>
        </w:rPr>
        <w:t>14</w:t>
      </w:r>
      <w:r>
        <w:rPr>
          <w:rFonts w:ascii="Times New Roman" w:hAnsi="Times New Roman" w:cs="Times New Roman"/>
          <w:b w:val="0"/>
          <w:u w:val="none"/>
        </w:rPr>
        <w:t xml:space="preserve">, n. 4, p. </w:t>
      </w:r>
      <w:r w:rsidRPr="004302F6">
        <w:rPr>
          <w:rFonts w:ascii="Times New Roman" w:hAnsi="Times New Roman" w:cs="Times New Roman"/>
          <w:b w:val="0"/>
          <w:u w:val="none"/>
        </w:rPr>
        <w:t>150-172.</w:t>
      </w:r>
      <w:r>
        <w:rPr>
          <w:rFonts w:ascii="Times New Roman" w:hAnsi="Times New Roman" w:cs="Times New Roman"/>
          <w:b w:val="0"/>
          <w:u w:val="none"/>
        </w:rPr>
        <w:t xml:space="preserve"> 2004.</w:t>
      </w:r>
    </w:p>
    <w:p w:rsidR="00900DDF" w:rsidRPr="004302F6" w:rsidRDefault="00900DDF" w:rsidP="00900DDF">
      <w:pPr>
        <w:pStyle w:val="Ttulo"/>
        <w:jc w:val="left"/>
        <w:rPr>
          <w:rFonts w:ascii="Times New Roman" w:hAnsi="Times New Roman" w:cs="Times New Roman"/>
          <w:b w:val="0"/>
          <w:u w:val="none"/>
        </w:rPr>
      </w:pPr>
    </w:p>
    <w:p w:rsidR="00BD2B74" w:rsidRPr="004302F6" w:rsidRDefault="00900DDF" w:rsidP="00900DDF">
      <w:pPr>
        <w:pStyle w:val="Ttulo"/>
        <w:jc w:val="left"/>
        <w:rPr>
          <w:rFonts w:ascii="Times New Roman" w:hAnsi="Times New Roman" w:cs="Times New Roman"/>
          <w:b w:val="0"/>
          <w:u w:val="none"/>
        </w:rPr>
      </w:pPr>
      <w:r w:rsidRPr="004302F6">
        <w:rPr>
          <w:rFonts w:ascii="Times New Roman" w:hAnsi="Times New Roman" w:cs="Times New Roman"/>
          <w:b w:val="0"/>
          <w:u w:val="none"/>
        </w:rPr>
        <w:t>LIPSCHITZ</w:t>
      </w:r>
      <w:r w:rsidR="00BD2B74" w:rsidRPr="004302F6">
        <w:rPr>
          <w:rFonts w:ascii="Times New Roman" w:hAnsi="Times New Roman" w:cs="Times New Roman"/>
          <w:b w:val="0"/>
          <w:u w:val="none"/>
        </w:rPr>
        <w:t>, D.</w:t>
      </w:r>
      <w:r w:rsidRPr="004302F6">
        <w:rPr>
          <w:rFonts w:ascii="Times New Roman" w:hAnsi="Times New Roman" w:cs="Times New Roman"/>
          <w:b w:val="0"/>
          <w:u w:val="none"/>
        </w:rPr>
        <w:t xml:space="preserve"> </w:t>
      </w:r>
      <w:r w:rsidR="00BD2B74" w:rsidRPr="004302F6">
        <w:rPr>
          <w:rFonts w:ascii="Times New Roman" w:hAnsi="Times New Roman" w:cs="Times New Roman"/>
          <w:b w:val="0"/>
          <w:u w:val="none"/>
        </w:rPr>
        <w:t xml:space="preserve">A. Screening for nutritional status in the elderly. </w:t>
      </w:r>
      <w:r w:rsidR="00BD2B74" w:rsidRPr="004302F6">
        <w:rPr>
          <w:rFonts w:ascii="Times New Roman" w:hAnsi="Times New Roman" w:cs="Times New Roman"/>
          <w:b w:val="0"/>
          <w:i/>
          <w:u w:val="none"/>
        </w:rPr>
        <w:t>Primary Care,</w:t>
      </w:r>
      <w:r w:rsidR="00BD2B74" w:rsidRPr="004302F6">
        <w:rPr>
          <w:rFonts w:ascii="Times New Roman" w:hAnsi="Times New Roman" w:cs="Times New Roman"/>
          <w:b w:val="0"/>
          <w:u w:val="none"/>
        </w:rPr>
        <w:t xml:space="preserve"> v. 21, n. 1, p. 55-67. 1994.</w:t>
      </w:r>
    </w:p>
    <w:p w:rsidR="00900DDF" w:rsidRPr="004302F6" w:rsidRDefault="00900DDF" w:rsidP="00900DDF">
      <w:pPr>
        <w:pStyle w:val="Ttulo"/>
        <w:jc w:val="left"/>
        <w:rPr>
          <w:rFonts w:ascii="Times New Roman" w:hAnsi="Times New Roman" w:cs="Times New Roman"/>
          <w:b w:val="0"/>
          <w:u w:val="none"/>
        </w:rPr>
      </w:pPr>
    </w:p>
    <w:p w:rsidR="005C382A" w:rsidRPr="004302F6" w:rsidRDefault="005C382A" w:rsidP="00900DDF">
      <w:pPr>
        <w:autoSpaceDE w:val="0"/>
        <w:autoSpaceDN w:val="0"/>
        <w:adjustRightInd w:val="0"/>
        <w:spacing w:after="0" w:line="240" w:lineRule="auto"/>
        <w:ind w:firstLine="0"/>
        <w:jc w:val="left"/>
      </w:pPr>
      <w:r w:rsidRPr="004302F6">
        <w:rPr>
          <w:color w:val="000000"/>
          <w:szCs w:val="24"/>
        </w:rPr>
        <w:lastRenderedPageBreak/>
        <w:t>MAIA, I.C.M.P.; NICOLATO, R.; LOPES, A.C.S.</w:t>
      </w:r>
      <w:r w:rsidRPr="004302F6">
        <w:rPr>
          <w:szCs w:val="24"/>
        </w:rPr>
        <w:t xml:space="preserve"> Aconselhamento nutricional a idosos </w:t>
      </w:r>
      <w:r w:rsidRPr="004302F6">
        <w:t xml:space="preserve">dislipidêmicos. </w:t>
      </w:r>
      <w:r w:rsidRPr="004302F6">
        <w:rPr>
          <w:i/>
        </w:rPr>
        <w:t>Revi</w:t>
      </w:r>
      <w:r w:rsidR="009A17A6" w:rsidRPr="004302F6">
        <w:rPr>
          <w:i/>
        </w:rPr>
        <w:t>sta de Medicina de Minas Gerais,</w:t>
      </w:r>
      <w:r w:rsidRPr="004302F6">
        <w:t xml:space="preserve"> v. 21, n. 3, p. 253-259. 2011.</w:t>
      </w:r>
    </w:p>
    <w:p w:rsidR="00FA463E" w:rsidRPr="004302F6" w:rsidRDefault="00FA463E" w:rsidP="00900DDF">
      <w:pPr>
        <w:autoSpaceDE w:val="0"/>
        <w:autoSpaceDN w:val="0"/>
        <w:adjustRightInd w:val="0"/>
        <w:spacing w:after="0" w:line="240" w:lineRule="auto"/>
        <w:ind w:firstLine="0"/>
        <w:jc w:val="left"/>
      </w:pPr>
    </w:p>
    <w:p w:rsidR="00FA463E" w:rsidRPr="004302F6" w:rsidRDefault="00FA463E" w:rsidP="00900DDF">
      <w:pPr>
        <w:autoSpaceDE w:val="0"/>
        <w:autoSpaceDN w:val="0"/>
        <w:adjustRightInd w:val="0"/>
        <w:spacing w:after="0" w:line="240" w:lineRule="auto"/>
        <w:ind w:firstLine="0"/>
        <w:jc w:val="left"/>
      </w:pPr>
      <w:r w:rsidRPr="004302F6">
        <w:t xml:space="preserve">MOTA, J. F.; RINALDI, A. E; M.; PEREIRA, A. F.; ORSATTI, F. L.; BURINI, R. C. Indicadores antropométricos como marcadores de risco para anormalidades metabólicas. </w:t>
      </w:r>
      <w:r w:rsidRPr="004302F6">
        <w:rPr>
          <w:i/>
        </w:rPr>
        <w:t xml:space="preserve">Ciência &amp; Saúde Coletiva, </w:t>
      </w:r>
      <w:r w:rsidRPr="004302F6">
        <w:t>v. 16, n. 9, p. 3901-3908. 2011.</w:t>
      </w:r>
    </w:p>
    <w:p w:rsidR="00900DDF" w:rsidRPr="004302F6" w:rsidRDefault="00900DDF" w:rsidP="00900DDF">
      <w:pPr>
        <w:autoSpaceDE w:val="0"/>
        <w:autoSpaceDN w:val="0"/>
        <w:adjustRightInd w:val="0"/>
        <w:spacing w:after="0" w:line="240" w:lineRule="auto"/>
        <w:ind w:firstLine="0"/>
        <w:jc w:val="left"/>
        <w:rPr>
          <w:szCs w:val="24"/>
        </w:rPr>
      </w:pPr>
    </w:p>
    <w:p w:rsidR="005C382A" w:rsidRPr="004302F6" w:rsidRDefault="005C382A" w:rsidP="00900DDF">
      <w:pPr>
        <w:autoSpaceDE w:val="0"/>
        <w:autoSpaceDN w:val="0"/>
        <w:adjustRightInd w:val="0"/>
        <w:spacing w:after="0" w:line="240" w:lineRule="auto"/>
        <w:ind w:firstLine="0"/>
        <w:jc w:val="left"/>
        <w:rPr>
          <w:color w:val="000000"/>
          <w:szCs w:val="24"/>
          <w:lang w:val="en-US"/>
        </w:rPr>
      </w:pPr>
      <w:r w:rsidRPr="004302F6">
        <w:rPr>
          <w:color w:val="111111"/>
          <w:szCs w:val="24"/>
        </w:rPr>
        <w:t xml:space="preserve">NASCIMENTO, J.P.S.; MENEZES, M.A.A.; MALLMANN, D.G.; JARDIM, V.C.F S. Fatores associados à síndrome metabólica em idosos: uma revisão integrativa. </w:t>
      </w:r>
      <w:r w:rsidR="009A17A6" w:rsidRPr="004302F6">
        <w:rPr>
          <w:i/>
          <w:iCs/>
          <w:color w:val="000000"/>
          <w:szCs w:val="24"/>
          <w:lang w:val="en-US"/>
        </w:rPr>
        <w:t>Revista Kairós Gerontologia,</w:t>
      </w:r>
      <w:r w:rsidRPr="004302F6">
        <w:rPr>
          <w:i/>
          <w:iCs/>
          <w:color w:val="000000"/>
          <w:szCs w:val="24"/>
          <w:lang w:val="en-US"/>
        </w:rPr>
        <w:t xml:space="preserve"> </w:t>
      </w:r>
      <w:r w:rsidRPr="004302F6">
        <w:rPr>
          <w:iCs/>
          <w:color w:val="000000"/>
          <w:szCs w:val="24"/>
          <w:lang w:val="en-US"/>
        </w:rPr>
        <w:t xml:space="preserve">v. 18, n. </w:t>
      </w:r>
      <w:r w:rsidRPr="004302F6">
        <w:rPr>
          <w:color w:val="000000"/>
          <w:szCs w:val="24"/>
          <w:lang w:val="en-US"/>
        </w:rPr>
        <w:t>2, p. 283-297. 2015.</w:t>
      </w:r>
    </w:p>
    <w:p w:rsidR="009449C4" w:rsidRPr="004302F6" w:rsidRDefault="009449C4" w:rsidP="00900DDF">
      <w:pPr>
        <w:autoSpaceDE w:val="0"/>
        <w:autoSpaceDN w:val="0"/>
        <w:adjustRightInd w:val="0"/>
        <w:spacing w:after="0" w:line="240" w:lineRule="auto"/>
        <w:ind w:firstLine="0"/>
        <w:jc w:val="left"/>
        <w:rPr>
          <w:color w:val="000000"/>
          <w:szCs w:val="24"/>
          <w:lang w:val="en-US"/>
        </w:rPr>
      </w:pPr>
    </w:p>
    <w:p w:rsidR="005C382A" w:rsidRPr="004302F6" w:rsidRDefault="005C382A" w:rsidP="00900DDF">
      <w:pPr>
        <w:autoSpaceDE w:val="0"/>
        <w:autoSpaceDN w:val="0"/>
        <w:adjustRightInd w:val="0"/>
        <w:spacing w:after="0" w:line="240" w:lineRule="auto"/>
        <w:ind w:firstLine="0"/>
        <w:jc w:val="left"/>
        <w:rPr>
          <w:color w:val="000000"/>
          <w:szCs w:val="24"/>
          <w:lang w:val="en-US"/>
        </w:rPr>
      </w:pPr>
      <w:r w:rsidRPr="004302F6">
        <w:rPr>
          <w:color w:val="000000"/>
          <w:szCs w:val="24"/>
          <w:lang w:val="en-US"/>
        </w:rPr>
        <w:t xml:space="preserve">NASCIMENTO, M. M.; PEREIRA, L. G. D.; CORDEIRO, P. R. N.; ARAUJO, L. M. G. Comparação e concordância de critérios à classificação do IMC de idosas fisicamente ativas, residentes no Sertão Nordestino. </w:t>
      </w:r>
      <w:r w:rsidR="009A17A6" w:rsidRPr="004302F6">
        <w:rPr>
          <w:i/>
          <w:color w:val="000000"/>
          <w:szCs w:val="24"/>
          <w:lang w:val="en-US"/>
        </w:rPr>
        <w:t>J Hum Growth Dev,</w:t>
      </w:r>
      <w:r w:rsidRPr="004302F6">
        <w:rPr>
          <w:color w:val="000000"/>
          <w:szCs w:val="24"/>
          <w:lang w:val="en-US"/>
        </w:rPr>
        <w:t xml:space="preserve"> v. 27, n. 3, p. 342-349. 2017.</w:t>
      </w:r>
    </w:p>
    <w:p w:rsidR="009449C4" w:rsidRPr="004302F6" w:rsidRDefault="009449C4" w:rsidP="00900DDF">
      <w:pPr>
        <w:autoSpaceDE w:val="0"/>
        <w:autoSpaceDN w:val="0"/>
        <w:adjustRightInd w:val="0"/>
        <w:spacing w:after="0" w:line="240" w:lineRule="auto"/>
        <w:ind w:firstLine="0"/>
        <w:jc w:val="left"/>
        <w:rPr>
          <w:color w:val="000000"/>
          <w:szCs w:val="24"/>
          <w:lang w:val="en-US"/>
        </w:rPr>
      </w:pPr>
    </w:p>
    <w:p w:rsidR="00BD2B74" w:rsidRPr="004302F6" w:rsidRDefault="00BD2B74" w:rsidP="00900DDF">
      <w:pPr>
        <w:autoSpaceDE w:val="0"/>
        <w:autoSpaceDN w:val="0"/>
        <w:adjustRightInd w:val="0"/>
        <w:spacing w:after="0" w:line="240" w:lineRule="auto"/>
        <w:ind w:firstLine="0"/>
        <w:jc w:val="left"/>
        <w:rPr>
          <w:color w:val="000000"/>
          <w:szCs w:val="24"/>
          <w:lang w:val="en-US"/>
        </w:rPr>
      </w:pPr>
      <w:r w:rsidRPr="004302F6">
        <w:rPr>
          <w:color w:val="000000"/>
          <w:szCs w:val="24"/>
          <w:lang w:val="en-US"/>
        </w:rPr>
        <w:t xml:space="preserve">ORGANIZAÇÃO MUNDIAL DE SAÚDE. </w:t>
      </w:r>
      <w:r w:rsidRPr="004302F6">
        <w:rPr>
          <w:i/>
          <w:color w:val="000000"/>
          <w:szCs w:val="24"/>
          <w:lang w:val="en-US"/>
        </w:rPr>
        <w:t>Physical status: the use and interpretation of anthropometry.</w:t>
      </w:r>
      <w:r w:rsidRPr="004302F6">
        <w:rPr>
          <w:color w:val="000000"/>
          <w:szCs w:val="24"/>
          <w:lang w:val="en-US"/>
        </w:rPr>
        <w:t xml:space="preserve"> Geneva, 199</w:t>
      </w:r>
      <w:r w:rsidR="00361AF7" w:rsidRPr="004302F6">
        <w:rPr>
          <w:color w:val="000000"/>
          <w:szCs w:val="24"/>
          <w:lang w:val="en-US"/>
        </w:rPr>
        <w:t>5</w:t>
      </w:r>
      <w:r w:rsidRPr="004302F6">
        <w:rPr>
          <w:color w:val="000000"/>
          <w:szCs w:val="24"/>
          <w:lang w:val="en-US"/>
        </w:rPr>
        <w:t>.</w:t>
      </w:r>
    </w:p>
    <w:p w:rsidR="004302F6" w:rsidRPr="004302F6" w:rsidRDefault="004302F6" w:rsidP="00900DDF">
      <w:pPr>
        <w:autoSpaceDE w:val="0"/>
        <w:autoSpaceDN w:val="0"/>
        <w:adjustRightInd w:val="0"/>
        <w:spacing w:after="0" w:line="240" w:lineRule="auto"/>
        <w:ind w:firstLine="0"/>
        <w:jc w:val="left"/>
        <w:rPr>
          <w:color w:val="000000"/>
          <w:szCs w:val="24"/>
          <w:lang w:val="en-US"/>
        </w:rPr>
      </w:pPr>
    </w:p>
    <w:p w:rsidR="004302F6" w:rsidRPr="004302F6" w:rsidRDefault="004302F6" w:rsidP="00900DDF">
      <w:pPr>
        <w:autoSpaceDE w:val="0"/>
        <w:autoSpaceDN w:val="0"/>
        <w:adjustRightInd w:val="0"/>
        <w:spacing w:after="0" w:line="240" w:lineRule="auto"/>
        <w:ind w:firstLine="0"/>
        <w:jc w:val="left"/>
        <w:rPr>
          <w:color w:val="000000"/>
          <w:szCs w:val="24"/>
          <w:lang w:val="en-US"/>
        </w:rPr>
      </w:pPr>
      <w:r w:rsidRPr="004302F6">
        <w:rPr>
          <w:color w:val="000000"/>
          <w:szCs w:val="24"/>
          <w:lang w:val="en-US"/>
        </w:rPr>
        <w:t xml:space="preserve">RAMOS, L. R. Fatores determinantes do envelhecimento saudável em idosos residentes em centro urbano: Projeto Epidoso, São Paulo. </w:t>
      </w:r>
      <w:r w:rsidRPr="004302F6">
        <w:rPr>
          <w:i/>
          <w:color w:val="000000"/>
          <w:szCs w:val="24"/>
          <w:lang w:val="en-US"/>
        </w:rPr>
        <w:t>Cad. Saúde Pública,</w:t>
      </w:r>
      <w:r w:rsidRPr="004302F6">
        <w:rPr>
          <w:color w:val="000000"/>
          <w:szCs w:val="24"/>
          <w:lang w:val="en-US"/>
        </w:rPr>
        <w:t xml:space="preserve"> Rio de Janeiro, 19, 3, 2003.</w:t>
      </w:r>
    </w:p>
    <w:p w:rsidR="001131FF" w:rsidRPr="004302F6" w:rsidRDefault="001131FF" w:rsidP="00900DDF">
      <w:pPr>
        <w:autoSpaceDE w:val="0"/>
        <w:autoSpaceDN w:val="0"/>
        <w:adjustRightInd w:val="0"/>
        <w:spacing w:after="0" w:line="240" w:lineRule="auto"/>
        <w:ind w:firstLine="0"/>
        <w:jc w:val="left"/>
        <w:rPr>
          <w:color w:val="000000"/>
          <w:szCs w:val="24"/>
          <w:lang w:val="en-US"/>
        </w:rPr>
      </w:pPr>
    </w:p>
    <w:p w:rsidR="005C382A" w:rsidRPr="004302F6" w:rsidRDefault="005C382A" w:rsidP="00900DDF">
      <w:pPr>
        <w:autoSpaceDE w:val="0"/>
        <w:autoSpaceDN w:val="0"/>
        <w:adjustRightInd w:val="0"/>
        <w:spacing w:after="0" w:line="240" w:lineRule="auto"/>
        <w:ind w:firstLine="0"/>
        <w:jc w:val="left"/>
        <w:rPr>
          <w:color w:val="000000"/>
          <w:szCs w:val="24"/>
          <w:lang w:val="en-US"/>
        </w:rPr>
      </w:pPr>
      <w:r w:rsidRPr="004302F6">
        <w:rPr>
          <w:color w:val="000000"/>
          <w:szCs w:val="24"/>
          <w:lang w:val="en-US"/>
        </w:rPr>
        <w:t xml:space="preserve">ROCHA, F. L.; MELO, R. L. P.; MENEZES, T. N. Fatores associados à síndrome metabólica em idosos do interior do Nordeste Brasileiro. </w:t>
      </w:r>
      <w:r w:rsidR="009A17A6" w:rsidRPr="004302F6">
        <w:rPr>
          <w:i/>
          <w:color w:val="000000"/>
          <w:szCs w:val="24"/>
          <w:lang w:val="en-US"/>
        </w:rPr>
        <w:t>Rev. Bras. Geriatr. Geronto.,</w:t>
      </w:r>
      <w:r w:rsidR="004E5C63" w:rsidRPr="004302F6">
        <w:rPr>
          <w:i/>
          <w:color w:val="000000"/>
          <w:szCs w:val="24"/>
          <w:lang w:val="en-US"/>
        </w:rPr>
        <w:t xml:space="preserve"> </w:t>
      </w:r>
      <w:r w:rsidR="004E5C63" w:rsidRPr="004302F6">
        <w:rPr>
          <w:color w:val="000000"/>
          <w:szCs w:val="24"/>
          <w:lang w:val="en-US"/>
        </w:rPr>
        <w:t>Rio de Janeiro,</w:t>
      </w:r>
      <w:r w:rsidRPr="004302F6">
        <w:rPr>
          <w:color w:val="000000"/>
          <w:szCs w:val="24"/>
          <w:lang w:val="en-US"/>
        </w:rPr>
        <w:t xml:space="preserve"> v. 19, n. 6, p. 978-986. 2016.</w:t>
      </w:r>
    </w:p>
    <w:p w:rsidR="009449C4" w:rsidRPr="004302F6" w:rsidRDefault="009449C4" w:rsidP="00900DDF">
      <w:pPr>
        <w:autoSpaceDE w:val="0"/>
        <w:autoSpaceDN w:val="0"/>
        <w:adjustRightInd w:val="0"/>
        <w:spacing w:after="0" w:line="240" w:lineRule="auto"/>
        <w:ind w:firstLine="0"/>
        <w:jc w:val="left"/>
        <w:rPr>
          <w:color w:val="000000"/>
          <w:szCs w:val="24"/>
          <w:lang w:val="en-US"/>
        </w:rPr>
      </w:pPr>
    </w:p>
    <w:p w:rsidR="005C382A" w:rsidRPr="004302F6" w:rsidRDefault="005C382A" w:rsidP="00900DDF">
      <w:pPr>
        <w:tabs>
          <w:tab w:val="left" w:pos="3915"/>
        </w:tabs>
        <w:spacing w:after="0" w:line="240" w:lineRule="auto"/>
        <w:ind w:firstLine="0"/>
        <w:jc w:val="left"/>
        <w:rPr>
          <w:szCs w:val="24"/>
        </w:rPr>
      </w:pPr>
      <w:r w:rsidRPr="004302F6">
        <w:rPr>
          <w:szCs w:val="24"/>
        </w:rPr>
        <w:t xml:space="preserve">SAAD, M.A.N.; CARDOSO, G.P.; MARTINS, W.A.; VELARDE, L.G.C.; FILHO, R.A.C. Prevalência de Síndrome Metabólica em Idosos e Concordância entre Quatro Critérios Diagnósticos. </w:t>
      </w:r>
      <w:r w:rsidRPr="004302F6">
        <w:rPr>
          <w:i/>
          <w:szCs w:val="24"/>
        </w:rPr>
        <w:t>Arquivos Brasileiros de Cardiologia</w:t>
      </w:r>
      <w:r w:rsidRPr="004302F6">
        <w:rPr>
          <w:szCs w:val="24"/>
        </w:rPr>
        <w:t xml:space="preserve"> [online]. 2013.</w:t>
      </w:r>
    </w:p>
    <w:p w:rsidR="009449C4" w:rsidRPr="004302F6" w:rsidRDefault="009449C4" w:rsidP="00900DDF">
      <w:pPr>
        <w:tabs>
          <w:tab w:val="left" w:pos="3915"/>
        </w:tabs>
        <w:spacing w:after="0" w:line="240" w:lineRule="auto"/>
        <w:ind w:firstLine="0"/>
        <w:jc w:val="left"/>
        <w:rPr>
          <w:color w:val="FF0000"/>
          <w:szCs w:val="24"/>
        </w:rPr>
      </w:pPr>
    </w:p>
    <w:p w:rsidR="005C382A" w:rsidRPr="004302F6" w:rsidRDefault="005C382A" w:rsidP="00900DDF">
      <w:pPr>
        <w:autoSpaceDE w:val="0"/>
        <w:autoSpaceDN w:val="0"/>
        <w:adjustRightInd w:val="0"/>
        <w:spacing w:after="0" w:line="240" w:lineRule="auto"/>
        <w:ind w:firstLine="0"/>
        <w:jc w:val="left"/>
      </w:pPr>
      <w:r w:rsidRPr="004302F6">
        <w:rPr>
          <w:szCs w:val="24"/>
        </w:rPr>
        <w:t xml:space="preserve">SANTOS, F. H.; ANDRADE, V. M.; BUENO, O. F. A. Envelhecimento: um processo </w:t>
      </w:r>
      <w:r w:rsidRPr="004302F6">
        <w:t xml:space="preserve">multifatorial. </w:t>
      </w:r>
      <w:r w:rsidRPr="004302F6">
        <w:rPr>
          <w:i/>
          <w:iCs/>
        </w:rPr>
        <w:t>Psicologia em estudo</w:t>
      </w:r>
      <w:r w:rsidR="009A17A6" w:rsidRPr="004302F6">
        <w:rPr>
          <w:i/>
          <w:iCs/>
        </w:rPr>
        <w:t>,</w:t>
      </w:r>
      <w:r w:rsidRPr="004302F6">
        <w:rPr>
          <w:iCs/>
        </w:rPr>
        <w:t xml:space="preserve"> v. 14, n. </w:t>
      </w:r>
      <w:r w:rsidRPr="004302F6">
        <w:t>1, p. 10. 2009.</w:t>
      </w:r>
    </w:p>
    <w:p w:rsidR="004E5C63" w:rsidRPr="004302F6" w:rsidRDefault="004E5C63" w:rsidP="00900DDF">
      <w:pPr>
        <w:autoSpaceDE w:val="0"/>
        <w:autoSpaceDN w:val="0"/>
        <w:adjustRightInd w:val="0"/>
        <w:spacing w:after="0" w:line="240" w:lineRule="auto"/>
        <w:ind w:firstLine="0"/>
        <w:jc w:val="left"/>
      </w:pPr>
    </w:p>
    <w:p w:rsidR="004E5C63" w:rsidRPr="004302F6" w:rsidRDefault="004E5C63" w:rsidP="00900DDF">
      <w:pPr>
        <w:autoSpaceDE w:val="0"/>
        <w:autoSpaceDN w:val="0"/>
        <w:adjustRightInd w:val="0"/>
        <w:spacing w:after="0" w:line="240" w:lineRule="auto"/>
        <w:ind w:firstLine="0"/>
        <w:jc w:val="left"/>
      </w:pPr>
      <w:r w:rsidRPr="004302F6">
        <w:t xml:space="preserve">SANTOS, P. C. M.; FERREIRA, A. L. L.; MORI, R. M. S. C. Frequência da síndrome metabólica em idosos cadastrados no Programa Saúde do Idoso de uma unidade municipal de saúde de Belém – PA. </w:t>
      </w:r>
      <w:r w:rsidRPr="004302F6">
        <w:rPr>
          <w:i/>
        </w:rPr>
        <w:t xml:space="preserve">RASBRAN – Revista da Associação Brasileira de Nutrição </w:t>
      </w:r>
      <w:r w:rsidRPr="004302F6">
        <w:t>[online].</w:t>
      </w:r>
      <w:r w:rsidRPr="004302F6">
        <w:rPr>
          <w:i/>
        </w:rPr>
        <w:t xml:space="preserve"> </w:t>
      </w:r>
      <w:r w:rsidRPr="004302F6">
        <w:t>São Paulo, SP, ano 8, n. 1, p. 75-81, Jan-</w:t>
      </w:r>
      <w:proofErr w:type="gramStart"/>
      <w:r w:rsidRPr="004302F6">
        <w:t>Jun.</w:t>
      </w:r>
      <w:proofErr w:type="gramEnd"/>
      <w:r w:rsidRPr="004302F6">
        <w:t xml:space="preserve"> 2017.</w:t>
      </w:r>
    </w:p>
    <w:p w:rsidR="009449C4" w:rsidRPr="004302F6" w:rsidRDefault="009449C4" w:rsidP="00900DDF">
      <w:pPr>
        <w:autoSpaceDE w:val="0"/>
        <w:autoSpaceDN w:val="0"/>
        <w:adjustRightInd w:val="0"/>
        <w:spacing w:after="0" w:line="240" w:lineRule="auto"/>
        <w:ind w:firstLine="0"/>
        <w:jc w:val="left"/>
        <w:rPr>
          <w:szCs w:val="24"/>
        </w:rPr>
      </w:pPr>
    </w:p>
    <w:p w:rsidR="005C382A" w:rsidRDefault="005C382A" w:rsidP="00900DDF">
      <w:pPr>
        <w:pStyle w:val="Default"/>
        <w:rPr>
          <w:rFonts w:ascii="Times New Roman" w:hAnsi="Times New Roman" w:cs="Times New Roman"/>
          <w:bCs/>
        </w:rPr>
      </w:pPr>
      <w:r w:rsidRPr="004302F6">
        <w:rPr>
          <w:rFonts w:ascii="Times New Roman" w:hAnsi="Times New Roman" w:cs="Times New Roman"/>
        </w:rPr>
        <w:t xml:space="preserve">SCHULTZ, R.D.P.; WICHMANN, F.A.; COUTO, A.N. Adesão e eficácia do aconselhamento dietético após intervenção nutricional em mulheres com fatores de risco para a síndrome metabólica. </w:t>
      </w:r>
      <w:r w:rsidR="009A17A6" w:rsidRPr="004302F6">
        <w:rPr>
          <w:rFonts w:ascii="Times New Roman" w:hAnsi="Times New Roman" w:cs="Times New Roman"/>
          <w:i/>
        </w:rPr>
        <w:t>Revista Cinergi,</w:t>
      </w:r>
      <w:r w:rsidRPr="004302F6">
        <w:rPr>
          <w:rFonts w:ascii="Times New Roman" w:hAnsi="Times New Roman" w:cs="Times New Roman"/>
        </w:rPr>
        <w:t xml:space="preserve"> v. 15, n.3, p. 123-128</w:t>
      </w:r>
      <w:r w:rsidRPr="004302F6">
        <w:rPr>
          <w:rFonts w:ascii="Times New Roman" w:hAnsi="Times New Roman" w:cs="Times New Roman"/>
          <w:bCs/>
        </w:rPr>
        <w:t>. 2014.</w:t>
      </w:r>
    </w:p>
    <w:p w:rsidR="00C97E7C" w:rsidRDefault="00C97E7C" w:rsidP="00900DDF">
      <w:pPr>
        <w:pStyle w:val="Default"/>
        <w:rPr>
          <w:rFonts w:ascii="Times New Roman" w:hAnsi="Times New Roman" w:cs="Times New Roman"/>
          <w:bCs/>
        </w:rPr>
      </w:pPr>
    </w:p>
    <w:p w:rsidR="00C97E7C" w:rsidRPr="00C97E7C" w:rsidRDefault="00C97E7C" w:rsidP="00900DDF">
      <w:pPr>
        <w:pStyle w:val="Default"/>
        <w:rPr>
          <w:rFonts w:ascii="Times New Roman" w:hAnsi="Times New Roman" w:cs="Times New Roman"/>
          <w:bCs/>
        </w:rPr>
      </w:pPr>
      <w:r>
        <w:rPr>
          <w:rFonts w:ascii="Times New Roman" w:hAnsi="Times New Roman" w:cs="Times New Roman"/>
          <w:bCs/>
        </w:rPr>
        <w:t xml:space="preserve">SOUZA, C. S. S. C.; MELLO, I. P.; RECH, R.; BORGES, C. S. B.; COSTA, L. P.; MATSUMURA, L.; ZULIM, M. I.; SCAPULATEMPO, H. H. L. C.; GABAS, A.; PEDROSO, C.; GUNTHER, M.; PELLIZER, G.; SICHINEL, A. AMI – Avaliação multidisciplinar do idoso de Campo Grande, MS. </w:t>
      </w:r>
      <w:r>
        <w:rPr>
          <w:rFonts w:ascii="Times New Roman" w:hAnsi="Times New Roman" w:cs="Times New Roman"/>
          <w:bCs/>
          <w:i/>
        </w:rPr>
        <w:t xml:space="preserve">ARCO – Arquivos Centro-Oeste de Cardiologia, </w:t>
      </w:r>
      <w:r>
        <w:rPr>
          <w:rFonts w:ascii="Times New Roman" w:hAnsi="Times New Roman" w:cs="Times New Roman"/>
          <w:bCs/>
        </w:rPr>
        <w:t xml:space="preserve">n. 3, p. 20-23, </w:t>
      </w:r>
      <w:proofErr w:type="gramStart"/>
      <w:r>
        <w:rPr>
          <w:rFonts w:ascii="Times New Roman" w:hAnsi="Times New Roman" w:cs="Times New Roman"/>
          <w:bCs/>
        </w:rPr>
        <w:t>Mar.</w:t>
      </w:r>
      <w:proofErr w:type="gramEnd"/>
      <w:r>
        <w:rPr>
          <w:rFonts w:ascii="Times New Roman" w:hAnsi="Times New Roman" w:cs="Times New Roman"/>
          <w:bCs/>
        </w:rPr>
        <w:t xml:space="preserve"> 2011.</w:t>
      </w:r>
    </w:p>
    <w:p w:rsidR="004302F6" w:rsidRPr="004302F6" w:rsidRDefault="004302F6" w:rsidP="00900DDF">
      <w:pPr>
        <w:pStyle w:val="Default"/>
        <w:rPr>
          <w:rFonts w:ascii="Times New Roman" w:hAnsi="Times New Roman" w:cs="Times New Roman"/>
          <w:bCs/>
        </w:rPr>
      </w:pPr>
    </w:p>
    <w:p w:rsidR="004302F6" w:rsidRPr="004302F6" w:rsidRDefault="004302F6" w:rsidP="00900DDF">
      <w:pPr>
        <w:pStyle w:val="Default"/>
        <w:rPr>
          <w:rFonts w:ascii="Times New Roman" w:hAnsi="Times New Roman" w:cs="Times New Roman"/>
          <w:bCs/>
        </w:rPr>
      </w:pPr>
      <w:r w:rsidRPr="004302F6">
        <w:rPr>
          <w:rFonts w:ascii="Times New Roman" w:hAnsi="Times New Roman" w:cs="Times New Roman"/>
          <w:bCs/>
        </w:rPr>
        <w:t xml:space="preserve">VERAS, R. Envelhecimento populacional contemporâneo: demandas, desafios e inovações. </w:t>
      </w:r>
      <w:r w:rsidRPr="004302F6">
        <w:rPr>
          <w:rFonts w:ascii="Times New Roman" w:hAnsi="Times New Roman" w:cs="Times New Roman"/>
          <w:bCs/>
          <w:i/>
        </w:rPr>
        <w:t>Rev. Saúde Pública,</w:t>
      </w:r>
      <w:r w:rsidRPr="004302F6">
        <w:rPr>
          <w:rFonts w:ascii="Times New Roman" w:hAnsi="Times New Roman" w:cs="Times New Roman"/>
          <w:bCs/>
        </w:rPr>
        <w:t xml:space="preserve"> v. 43, n. 3. 2009.</w:t>
      </w:r>
    </w:p>
    <w:p w:rsidR="009449C4" w:rsidRPr="004302F6" w:rsidRDefault="009449C4" w:rsidP="00900DDF">
      <w:pPr>
        <w:pStyle w:val="Default"/>
        <w:rPr>
          <w:rFonts w:ascii="Times New Roman" w:hAnsi="Times New Roman" w:cs="Times New Roman"/>
          <w:bCs/>
        </w:rPr>
      </w:pPr>
    </w:p>
    <w:p w:rsidR="005C382A" w:rsidRPr="004302F6" w:rsidRDefault="005C382A" w:rsidP="00900DDF">
      <w:pPr>
        <w:pStyle w:val="Default"/>
        <w:rPr>
          <w:rFonts w:ascii="Times New Roman" w:hAnsi="Times New Roman" w:cs="Times New Roman"/>
          <w:bCs/>
        </w:rPr>
      </w:pPr>
      <w:r w:rsidRPr="004302F6">
        <w:rPr>
          <w:rFonts w:ascii="Times New Roman" w:hAnsi="Times New Roman" w:cs="Times New Roman"/>
          <w:bCs/>
        </w:rPr>
        <w:lastRenderedPageBreak/>
        <w:t xml:space="preserve">VIEIRA, E. C.; PEIXOTO, M. R. G.; SILVEIRA, E. A. Prevalência e fatores associados à Síndrome Metabólica em idosos usuários do Sistema Único de Saúde. </w:t>
      </w:r>
      <w:r w:rsidR="009A17A6" w:rsidRPr="004302F6">
        <w:rPr>
          <w:rFonts w:ascii="Times New Roman" w:hAnsi="Times New Roman" w:cs="Times New Roman"/>
          <w:bCs/>
          <w:i/>
        </w:rPr>
        <w:t>Rev. Bras. Epidemiol,</w:t>
      </w:r>
      <w:r w:rsidRPr="004302F6">
        <w:rPr>
          <w:rFonts w:ascii="Times New Roman" w:hAnsi="Times New Roman" w:cs="Times New Roman"/>
          <w:bCs/>
        </w:rPr>
        <w:t xml:space="preserve"> v. 17, n. 4, p. 805-817</w:t>
      </w:r>
      <w:r w:rsidR="004E5C63" w:rsidRPr="004302F6">
        <w:rPr>
          <w:rFonts w:ascii="Times New Roman" w:hAnsi="Times New Roman" w:cs="Times New Roman"/>
          <w:bCs/>
        </w:rPr>
        <w:t>, Out-Dez</w:t>
      </w:r>
      <w:r w:rsidRPr="004302F6">
        <w:rPr>
          <w:rFonts w:ascii="Times New Roman" w:hAnsi="Times New Roman" w:cs="Times New Roman"/>
          <w:bCs/>
        </w:rPr>
        <w:t>. 2014.</w:t>
      </w:r>
    </w:p>
    <w:p w:rsidR="004302F6" w:rsidRPr="004302F6" w:rsidRDefault="004302F6" w:rsidP="00900DDF">
      <w:pPr>
        <w:pStyle w:val="Default"/>
        <w:rPr>
          <w:rFonts w:ascii="Times New Roman" w:hAnsi="Times New Roman" w:cs="Times New Roman"/>
          <w:bCs/>
        </w:rPr>
      </w:pPr>
    </w:p>
    <w:p w:rsidR="004302F6" w:rsidRPr="004302F6" w:rsidRDefault="004302F6" w:rsidP="00900DDF">
      <w:pPr>
        <w:pStyle w:val="Default"/>
        <w:rPr>
          <w:rFonts w:ascii="Times New Roman" w:hAnsi="Times New Roman" w:cs="Times New Roman"/>
          <w:bCs/>
        </w:rPr>
      </w:pPr>
      <w:r w:rsidRPr="004302F6">
        <w:rPr>
          <w:rFonts w:ascii="Times New Roman" w:hAnsi="Times New Roman" w:cs="Times New Roman"/>
          <w:bCs/>
        </w:rPr>
        <w:t xml:space="preserve">VITOLO, M. R. Nutrição: da gestação ao envelhecimento. </w:t>
      </w:r>
      <w:proofErr w:type="gramStart"/>
      <w:r w:rsidRPr="004302F6">
        <w:rPr>
          <w:rFonts w:ascii="Times New Roman" w:hAnsi="Times New Roman" w:cs="Times New Roman"/>
          <w:bCs/>
        </w:rPr>
        <w:t>2 ed.</w:t>
      </w:r>
      <w:proofErr w:type="gramEnd"/>
      <w:r w:rsidRPr="004302F6">
        <w:rPr>
          <w:rFonts w:ascii="Times New Roman" w:hAnsi="Times New Roman" w:cs="Times New Roman"/>
          <w:bCs/>
        </w:rPr>
        <w:t xml:space="preserve"> Rio de Janeiro: Rúbio, 2015.</w:t>
      </w:r>
    </w:p>
    <w:p w:rsidR="009449C4" w:rsidRPr="004302F6" w:rsidRDefault="009449C4" w:rsidP="00900DDF">
      <w:pPr>
        <w:pStyle w:val="Default"/>
        <w:rPr>
          <w:rFonts w:ascii="Times New Roman" w:hAnsi="Times New Roman" w:cs="Times New Roman"/>
          <w:bCs/>
        </w:rPr>
      </w:pPr>
    </w:p>
    <w:p w:rsidR="005C382A" w:rsidRPr="004302F6" w:rsidRDefault="005C382A" w:rsidP="00900DDF">
      <w:pPr>
        <w:pStyle w:val="Default"/>
        <w:rPr>
          <w:rFonts w:ascii="Times New Roman" w:hAnsi="Times New Roman" w:cs="Times New Roman"/>
          <w:bCs/>
        </w:rPr>
      </w:pPr>
      <w:r w:rsidRPr="004302F6">
        <w:rPr>
          <w:rFonts w:ascii="Times New Roman" w:hAnsi="Times New Roman" w:cs="Times New Roman"/>
          <w:bCs/>
        </w:rPr>
        <w:t xml:space="preserve">ZORASKI, H.; FIAMETTI, M.; SANTOS, R.; GREGOLETTO, M. L.; CREMONESE, C. Síndrome metabólica em idosos de Nova Roma do Sul, RD: prevalência e fatores associados. </w:t>
      </w:r>
      <w:r w:rsidR="009A17A6" w:rsidRPr="004302F6">
        <w:rPr>
          <w:rFonts w:ascii="Times New Roman" w:hAnsi="Times New Roman" w:cs="Times New Roman"/>
          <w:bCs/>
          <w:i/>
        </w:rPr>
        <w:t>ABCS Health Sci.,</w:t>
      </w:r>
      <w:r w:rsidRPr="004302F6">
        <w:rPr>
          <w:rFonts w:ascii="Times New Roman" w:hAnsi="Times New Roman" w:cs="Times New Roman"/>
          <w:bCs/>
        </w:rPr>
        <w:t xml:space="preserve"> v. 42, n. 3, p. 147-155. 2017.</w:t>
      </w:r>
    </w:p>
    <w:p w:rsidR="005C382A" w:rsidRDefault="005C382A" w:rsidP="005C382A">
      <w:pPr>
        <w:pStyle w:val="Default"/>
        <w:rPr>
          <w:rFonts w:ascii="Times New Roman" w:hAnsi="Times New Roman" w:cs="Times New Roman"/>
          <w:bCs/>
          <w:iCs/>
        </w:rPr>
      </w:pPr>
    </w:p>
    <w:p w:rsidR="005C382A" w:rsidRDefault="005C382A">
      <w:pPr>
        <w:spacing w:after="0" w:line="240" w:lineRule="auto"/>
        <w:ind w:firstLine="0"/>
        <w:jc w:val="left"/>
        <w:rPr>
          <w:bCs/>
          <w:iCs/>
          <w:color w:val="000000"/>
          <w:szCs w:val="24"/>
        </w:rPr>
      </w:pPr>
      <w:r>
        <w:rPr>
          <w:bCs/>
          <w:iCs/>
        </w:rPr>
        <w:br w:type="page"/>
      </w:r>
    </w:p>
    <w:bookmarkEnd w:id="0"/>
    <w:p w:rsidR="00BF0549" w:rsidRDefault="00505F5A" w:rsidP="00BF0549">
      <w:pPr>
        <w:pStyle w:val="Default"/>
        <w:jc w:val="center"/>
        <w:rPr>
          <w:rFonts w:ascii="Times New Roman" w:hAnsi="Times New Roman" w:cs="Times New Roman"/>
          <w:b/>
          <w:bCs/>
          <w:iCs/>
        </w:rPr>
      </w:pPr>
      <w:r>
        <w:rPr>
          <w:rFonts w:ascii="Times New Roman" w:hAnsi="Times New Roman" w:cs="Times New Roman"/>
          <w:b/>
          <w:bCs/>
          <w:iCs/>
        </w:rPr>
        <w:lastRenderedPageBreak/>
        <w:t>APÊNDICE A – FORMULÁRIO DE PESQUISA</w:t>
      </w:r>
    </w:p>
    <w:p w:rsidR="00BF0549" w:rsidRPr="00BF0549" w:rsidRDefault="00BF0549" w:rsidP="00BF0549">
      <w:pPr>
        <w:pStyle w:val="Default"/>
        <w:jc w:val="center"/>
        <w:rPr>
          <w:rFonts w:ascii="Times New Roman" w:hAnsi="Times New Roman" w:cs="Times New Roman"/>
          <w:b/>
          <w:bCs/>
          <w:iCs/>
        </w:rPr>
      </w:pPr>
    </w:p>
    <w:tbl>
      <w:tblPr>
        <w:tblStyle w:val="Tabelacomgrade"/>
        <w:tblW w:w="10320" w:type="dxa"/>
        <w:tblInd w:w="-572" w:type="dxa"/>
        <w:tblLayout w:type="fixed"/>
        <w:tblLook w:val="04A0" w:firstRow="1" w:lastRow="0" w:firstColumn="1" w:lastColumn="0" w:noHBand="0" w:noVBand="1"/>
      </w:tblPr>
      <w:tblGrid>
        <w:gridCol w:w="10320"/>
      </w:tblGrid>
      <w:tr w:rsidR="00BF0549" w:rsidRPr="00BF0549" w:rsidTr="00BF0549">
        <w:tc>
          <w:tcPr>
            <w:tcW w:w="10319" w:type="dxa"/>
            <w:tcBorders>
              <w:top w:val="single" w:sz="4" w:space="0" w:color="auto"/>
              <w:left w:val="single" w:sz="4" w:space="0" w:color="auto"/>
              <w:bottom w:val="single" w:sz="4" w:space="0" w:color="auto"/>
              <w:right w:val="single" w:sz="4" w:space="0" w:color="auto"/>
            </w:tcBorders>
            <w:hideMark/>
          </w:tcPr>
          <w:p w:rsidR="00BF0549" w:rsidRPr="00BF0549" w:rsidRDefault="00BF0549">
            <w:pPr>
              <w:jc w:val="center"/>
              <w:rPr>
                <w:b/>
                <w:sz w:val="16"/>
                <w:szCs w:val="16"/>
              </w:rPr>
            </w:pPr>
            <w:r w:rsidRPr="00BF0549">
              <w:rPr>
                <w:b/>
                <w:sz w:val="16"/>
                <w:szCs w:val="16"/>
              </w:rPr>
              <w:t>FORMULÁRIO DE PESQUISA</w:t>
            </w:r>
          </w:p>
        </w:tc>
      </w:tr>
      <w:tr w:rsidR="00BF0549" w:rsidRPr="00BF0549" w:rsidTr="00BF0549">
        <w:trPr>
          <w:trHeight w:val="8377"/>
        </w:trPr>
        <w:tc>
          <w:tcPr>
            <w:tcW w:w="10319"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Cs/>
                <w:sz w:val="16"/>
                <w:szCs w:val="16"/>
              </w:rPr>
            </w:pPr>
            <w:r w:rsidRPr="00BF0549">
              <w:rPr>
                <w:rFonts w:ascii="Times New Roman" w:hAnsi="Times New Roman" w:cs="Times New Roman"/>
                <w:b/>
                <w:bCs/>
                <w:sz w:val="16"/>
                <w:szCs w:val="16"/>
              </w:rPr>
              <w:t xml:space="preserve">IDENT: ____________         GÊNERO: </w:t>
            </w:r>
            <w:proofErr w:type="gramStart"/>
            <w:r w:rsidRPr="00BF0549">
              <w:rPr>
                <w:rFonts w:ascii="Times New Roman" w:hAnsi="Times New Roman" w:cs="Times New Roman"/>
                <w:b/>
                <w:bCs/>
                <w:sz w:val="16"/>
                <w:szCs w:val="16"/>
              </w:rPr>
              <w:t xml:space="preserve">F(  </w:t>
            </w:r>
            <w:proofErr w:type="gramEnd"/>
            <w:r w:rsidRPr="00BF0549">
              <w:rPr>
                <w:rFonts w:ascii="Times New Roman" w:hAnsi="Times New Roman" w:cs="Times New Roman"/>
                <w:b/>
                <w:bCs/>
                <w:sz w:val="16"/>
                <w:szCs w:val="16"/>
              </w:rPr>
              <w:t xml:space="preserve">  ) M(    )                                                                                                  IDADE: _________ ANOS </w:t>
            </w:r>
            <w:r w:rsidRPr="00BF0549">
              <w:rPr>
                <w:rFonts w:ascii="Times New Roman" w:hAnsi="Times New Roman" w:cs="Times New Roman"/>
                <w:bCs/>
                <w:sz w:val="16"/>
                <w:szCs w:val="16"/>
              </w:rPr>
              <w:t xml:space="preserve"> </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TABAGISTA NÃO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SIM (   )  FREQ: _____ CIGARROS/DIA_____  ETILISTA NÃO (   ) SIM (   ) FREQ: __________________________</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REALIZA ATIVIDADE FÍSICA? NÃO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SIM (   ), QUAL? ______________________________________________</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REALIZA CONTROLE GLICÊMICO? NÃO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SIM (   ),           REGULARIDADE: (   ) DIÁRIO (   ) SEMANAL (   ) MENSAL (   ) ANUAL</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REALIZA CONTROLE PRESSÓRICO? NÃO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SIM (   ),          REGULARIDADE: (   ) DIÁRIO (   ) SEMANAL (   ) MENSAL (   ) ANUAL</w:t>
            </w:r>
          </w:p>
          <w:p w:rsidR="00BF0549" w:rsidRPr="00BF0549" w:rsidRDefault="00BF0549">
            <w:pPr>
              <w:pStyle w:val="Default"/>
              <w:rPr>
                <w:rFonts w:ascii="Times New Roman" w:hAnsi="Times New Roman" w:cs="Times New Roman"/>
                <w:b/>
                <w:bCs/>
                <w:sz w:val="16"/>
                <w:szCs w:val="16"/>
                <w:u w:val="single"/>
              </w:rPr>
            </w:pPr>
          </w:p>
          <w:p w:rsidR="00BF0549" w:rsidRPr="00BF0549" w:rsidRDefault="00BF0549">
            <w:pPr>
              <w:pStyle w:val="Default"/>
              <w:rPr>
                <w:rFonts w:ascii="Times New Roman" w:hAnsi="Times New Roman" w:cs="Times New Roman"/>
                <w:b/>
                <w:bCs/>
                <w:sz w:val="16"/>
                <w:szCs w:val="16"/>
                <w:u w:val="single"/>
              </w:rPr>
            </w:pPr>
            <w:r w:rsidRPr="00BF0549">
              <w:rPr>
                <w:rFonts w:ascii="Times New Roman" w:hAnsi="Times New Roman" w:cs="Times New Roman"/>
                <w:b/>
                <w:bCs/>
                <w:sz w:val="16"/>
                <w:szCs w:val="16"/>
                <w:u w:val="single"/>
              </w:rPr>
              <w:t>INQUÉRITO ALIMENTAR</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REFEIÇÕES REALIZADAS POR DIA:   DUAS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TRÊS (   )          QUATRO (   )         CINCO (   )       SEIS OU MAIS (   )</w:t>
            </w:r>
          </w:p>
          <w:p w:rsidR="00BF0549" w:rsidRPr="00BF0549" w:rsidRDefault="00BF0549">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u w:val="single"/>
              </w:rPr>
            </w:pPr>
            <w:r w:rsidRPr="00BF0549">
              <w:rPr>
                <w:rFonts w:ascii="Times New Roman" w:hAnsi="Times New Roman" w:cs="Times New Roman"/>
                <w:b/>
                <w:bCs/>
                <w:sz w:val="16"/>
                <w:szCs w:val="16"/>
                <w:u w:val="single"/>
              </w:rPr>
              <w:t>QUESTIONÁRIO DE FREQUÊNCIA ALIMENTAR- GRUPOS ALIMENTARES</w:t>
            </w:r>
          </w:p>
          <w:p w:rsidR="00BF0549" w:rsidRPr="00BF0549" w:rsidRDefault="00BF0549">
            <w:pPr>
              <w:pStyle w:val="Default"/>
              <w:rPr>
                <w:rFonts w:ascii="Times New Roman" w:hAnsi="Times New Roman" w:cs="Times New Roman"/>
                <w:b/>
                <w:bCs/>
                <w:sz w:val="16"/>
                <w:szCs w:val="16"/>
                <w:u w:val="single"/>
              </w:rPr>
            </w:pPr>
          </w:p>
          <w:tbl>
            <w:tblPr>
              <w:tblStyle w:val="Tabelacomgrade"/>
              <w:tblW w:w="9930" w:type="dxa"/>
              <w:tblLayout w:type="fixed"/>
              <w:tblLook w:val="04A0" w:firstRow="1" w:lastRow="0" w:firstColumn="1" w:lastColumn="0" w:noHBand="0" w:noVBand="1"/>
            </w:tblPr>
            <w:tblGrid>
              <w:gridCol w:w="1418"/>
              <w:gridCol w:w="1562"/>
              <w:gridCol w:w="1702"/>
              <w:gridCol w:w="1560"/>
              <w:gridCol w:w="1986"/>
              <w:gridCol w:w="1702"/>
            </w:tblGrid>
            <w:tr w:rsidR="00BF0549" w:rsidRPr="00BF0549">
              <w:trPr>
                <w:trHeight w:val="555"/>
              </w:trPr>
              <w:tc>
                <w:tcPr>
                  <w:tcW w:w="1418"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spacing w:line="276" w:lineRule="auto"/>
                    <w:rPr>
                      <w:rFonts w:ascii="Times New Roman" w:hAnsi="Times New Roman" w:cs="Times New Roman"/>
                      <w:b/>
                      <w:bCs/>
                      <w:sz w:val="16"/>
                      <w:szCs w:val="16"/>
                      <w:u w:val="single"/>
                    </w:rPr>
                  </w:pPr>
                </w:p>
              </w:tc>
              <w:tc>
                <w:tcPr>
                  <w:tcW w:w="156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pStyle w:val="Default"/>
                    <w:spacing w:line="276" w:lineRule="auto"/>
                    <w:jc w:val="center"/>
                    <w:rPr>
                      <w:rFonts w:ascii="Times New Roman" w:hAnsi="Times New Roman" w:cs="Times New Roman"/>
                      <w:b/>
                      <w:bCs/>
                      <w:sz w:val="16"/>
                      <w:szCs w:val="16"/>
                    </w:rPr>
                  </w:pPr>
                  <w:r w:rsidRPr="00BF0549">
                    <w:rPr>
                      <w:rFonts w:ascii="Times New Roman" w:hAnsi="Times New Roman" w:cs="Times New Roman"/>
                      <w:b/>
                      <w:bCs/>
                      <w:sz w:val="16"/>
                      <w:szCs w:val="16"/>
                    </w:rPr>
                    <w:t>DIARIAMENTE</w:t>
                  </w:r>
                </w:p>
              </w:tc>
              <w:tc>
                <w:tcPr>
                  <w:tcW w:w="170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pStyle w:val="Default"/>
                    <w:spacing w:line="276" w:lineRule="auto"/>
                    <w:jc w:val="center"/>
                    <w:rPr>
                      <w:rFonts w:ascii="Times New Roman" w:hAnsi="Times New Roman" w:cs="Times New Roman"/>
                      <w:b/>
                      <w:bCs/>
                      <w:sz w:val="16"/>
                      <w:szCs w:val="16"/>
                    </w:rPr>
                  </w:pPr>
                  <w:r w:rsidRPr="00BF0549">
                    <w:rPr>
                      <w:rFonts w:ascii="Times New Roman" w:hAnsi="Times New Roman" w:cs="Times New Roman"/>
                      <w:b/>
                      <w:bCs/>
                      <w:sz w:val="16"/>
                      <w:szCs w:val="16"/>
                    </w:rPr>
                    <w:t>SEMANALMENTE</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pStyle w:val="Default"/>
                    <w:spacing w:line="276" w:lineRule="auto"/>
                    <w:jc w:val="center"/>
                    <w:rPr>
                      <w:rFonts w:ascii="Times New Roman" w:hAnsi="Times New Roman" w:cs="Times New Roman"/>
                      <w:b/>
                      <w:bCs/>
                      <w:sz w:val="16"/>
                      <w:szCs w:val="16"/>
                    </w:rPr>
                  </w:pPr>
                  <w:r w:rsidRPr="00BF0549">
                    <w:rPr>
                      <w:rFonts w:ascii="Times New Roman" w:hAnsi="Times New Roman" w:cs="Times New Roman"/>
                      <w:b/>
                      <w:bCs/>
                      <w:sz w:val="16"/>
                      <w:szCs w:val="16"/>
                    </w:rPr>
                    <w:t>MENSALMENTE</w:t>
                  </w:r>
                </w:p>
              </w:tc>
              <w:tc>
                <w:tcPr>
                  <w:tcW w:w="1986"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pStyle w:val="Default"/>
                    <w:spacing w:line="276" w:lineRule="auto"/>
                    <w:jc w:val="center"/>
                    <w:rPr>
                      <w:rFonts w:ascii="Times New Roman" w:hAnsi="Times New Roman" w:cs="Times New Roman"/>
                      <w:b/>
                      <w:bCs/>
                      <w:sz w:val="16"/>
                      <w:szCs w:val="16"/>
                    </w:rPr>
                  </w:pPr>
                  <w:r w:rsidRPr="00BF0549">
                    <w:rPr>
                      <w:rFonts w:ascii="Times New Roman" w:hAnsi="Times New Roman" w:cs="Times New Roman"/>
                      <w:b/>
                      <w:bCs/>
                      <w:sz w:val="16"/>
                      <w:szCs w:val="16"/>
                    </w:rPr>
                    <w:t>EVENTUALMENTE</w:t>
                  </w:r>
                </w:p>
              </w:tc>
              <w:tc>
                <w:tcPr>
                  <w:tcW w:w="170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pStyle w:val="Default"/>
                    <w:spacing w:line="276" w:lineRule="auto"/>
                    <w:jc w:val="center"/>
                    <w:rPr>
                      <w:rFonts w:ascii="Times New Roman" w:hAnsi="Times New Roman" w:cs="Times New Roman"/>
                      <w:b/>
                      <w:bCs/>
                      <w:sz w:val="16"/>
                      <w:szCs w:val="16"/>
                    </w:rPr>
                  </w:pPr>
                  <w:r w:rsidRPr="00BF0549">
                    <w:rPr>
                      <w:rFonts w:ascii="Times New Roman" w:hAnsi="Times New Roman" w:cs="Times New Roman"/>
                      <w:b/>
                      <w:bCs/>
                      <w:sz w:val="16"/>
                      <w:szCs w:val="16"/>
                    </w:rPr>
                    <w:t>NUNCA</w:t>
                  </w:r>
                </w:p>
              </w:tc>
            </w:tr>
            <w:tr w:rsidR="00BF0549" w:rsidRPr="00BF0549">
              <w:trPr>
                <w:trHeight w:val="292"/>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PÃES E MASSAS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70"/>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CEREAIS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CARNES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LEITE E DERIVADOS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OVOS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70"/>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LEGUMINOSAS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VERDURAS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70"/>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LEGUMES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TUBÉRCULOS E RAIZES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70"/>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FRUTAS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ÓLEOS E GORDURAS</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r w:rsidR="00BF0549" w:rsidRPr="00BF0549">
              <w:trPr>
                <w:trHeight w:val="285"/>
              </w:trPr>
              <w:tc>
                <w:tcPr>
                  <w:tcW w:w="1418" w:type="dxa"/>
                  <w:tcBorders>
                    <w:top w:val="single" w:sz="4" w:space="0" w:color="auto"/>
                    <w:left w:val="single" w:sz="4" w:space="0" w:color="auto"/>
                    <w:bottom w:val="single" w:sz="4" w:space="0" w:color="auto"/>
                    <w:right w:val="single" w:sz="4" w:space="0" w:color="auto"/>
                  </w:tcBorders>
                  <w:hideMark/>
                </w:tcPr>
                <w:p w:rsidR="00BF0549" w:rsidRPr="00BF0549" w:rsidRDefault="00BF0549">
                  <w:pPr>
                    <w:pStyle w:val="Default"/>
                    <w:spacing w:line="276" w:lineRule="auto"/>
                    <w:rPr>
                      <w:rFonts w:ascii="Times New Roman" w:hAnsi="Times New Roman" w:cs="Times New Roman"/>
                      <w:b/>
                      <w:bCs/>
                      <w:sz w:val="16"/>
                      <w:szCs w:val="16"/>
                    </w:rPr>
                  </w:pPr>
                  <w:r w:rsidRPr="00BF0549">
                    <w:rPr>
                      <w:rFonts w:ascii="Times New Roman" w:hAnsi="Times New Roman" w:cs="Times New Roman"/>
                      <w:b/>
                      <w:bCs/>
                      <w:sz w:val="16"/>
                      <w:szCs w:val="16"/>
                    </w:rPr>
                    <w:t>DOCES E AÇUCAR</w:t>
                  </w:r>
                </w:p>
              </w:tc>
              <w:tc>
                <w:tcPr>
                  <w:tcW w:w="156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986"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c>
                <w:tcPr>
                  <w:tcW w:w="1702" w:type="dxa"/>
                  <w:tcBorders>
                    <w:top w:val="single" w:sz="4" w:space="0" w:color="auto"/>
                    <w:left w:val="single" w:sz="4" w:space="0" w:color="auto"/>
                    <w:bottom w:val="single" w:sz="4" w:space="0" w:color="auto"/>
                    <w:right w:val="single" w:sz="4" w:space="0" w:color="auto"/>
                  </w:tcBorders>
                </w:tcPr>
                <w:p w:rsidR="00BF0549" w:rsidRPr="00BF0549" w:rsidRDefault="00BF0549">
                  <w:pPr>
                    <w:pStyle w:val="Default"/>
                    <w:rPr>
                      <w:rFonts w:ascii="Times New Roman" w:hAnsi="Times New Roman" w:cs="Times New Roman"/>
                      <w:b/>
                      <w:bCs/>
                      <w:sz w:val="16"/>
                      <w:szCs w:val="16"/>
                      <w:u w:val="single"/>
                    </w:rPr>
                  </w:pPr>
                </w:p>
              </w:tc>
            </w:tr>
          </w:tbl>
          <w:p w:rsidR="00BF0549" w:rsidRPr="00BF0549" w:rsidRDefault="00BF0549">
            <w:pPr>
              <w:pStyle w:val="Default"/>
              <w:spacing w:line="276" w:lineRule="auto"/>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u w:val="single"/>
              </w:rPr>
            </w:pPr>
            <w:r w:rsidRPr="00BF0549">
              <w:rPr>
                <w:rFonts w:ascii="Times New Roman" w:hAnsi="Times New Roman" w:cs="Times New Roman"/>
                <w:b/>
                <w:bCs/>
                <w:sz w:val="16"/>
                <w:szCs w:val="16"/>
                <w:u w:val="single"/>
              </w:rPr>
              <w:t>DIAGNÓSTICOS CLÍNICOS:</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DIABETES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HIPERTENSÃO (   )     DISLIPIDEMIA (   )      HIPERTRIGLICERIDEMIA (   )      HIPERCOLESTEROLEMIA (   )  CARDIOPATIA (   )      OUTROS: ____________________________________________________________________________________</w:t>
            </w:r>
          </w:p>
          <w:p w:rsidR="00BF0549" w:rsidRPr="00BF0549" w:rsidRDefault="00BF0549">
            <w:pPr>
              <w:pStyle w:val="Default"/>
              <w:rPr>
                <w:rFonts w:ascii="Times New Roman" w:hAnsi="Times New Roman" w:cs="Times New Roman"/>
                <w:b/>
                <w:bCs/>
                <w:sz w:val="16"/>
                <w:szCs w:val="16"/>
              </w:rPr>
            </w:pPr>
          </w:p>
          <w:p w:rsidR="00CA2784" w:rsidRDefault="00CA2784">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lastRenderedPageBreak/>
              <w:t xml:space="preserve">REALIZA TRATAMENTO MEDICAMENTOSO? NÃO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SIM (   )  </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SE SIM, ASSINALE ABAIXO OS </w:t>
            </w:r>
            <w:proofErr w:type="gramStart"/>
            <w:r w:rsidRPr="00BF0549">
              <w:rPr>
                <w:rFonts w:ascii="Times New Roman" w:hAnsi="Times New Roman" w:cs="Times New Roman"/>
                <w:b/>
                <w:bCs/>
                <w:sz w:val="16"/>
                <w:szCs w:val="16"/>
              </w:rPr>
              <w:t>ANALISADOS  :</w:t>
            </w:r>
            <w:proofErr w:type="gramEnd"/>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METFORMINA </w:t>
            </w:r>
            <w:proofErr w:type="gramStart"/>
            <w:r w:rsidRPr="00BF0549">
              <w:rPr>
                <w:rFonts w:ascii="Times New Roman" w:hAnsi="Times New Roman" w:cs="Times New Roman"/>
                <w:b/>
                <w:bCs/>
                <w:sz w:val="16"/>
                <w:szCs w:val="16"/>
              </w:rPr>
              <w:t xml:space="preserve">(  </w:t>
            </w:r>
            <w:proofErr w:type="gramEnd"/>
            <w:r w:rsidRPr="00BF0549">
              <w:rPr>
                <w:rFonts w:ascii="Times New Roman" w:hAnsi="Times New Roman" w:cs="Times New Roman"/>
                <w:b/>
                <w:bCs/>
                <w:sz w:val="16"/>
                <w:szCs w:val="16"/>
              </w:rPr>
              <w:t xml:space="preserve"> )    NIMESULINA (   )    CAPTOPRIL (   )    LOSARTANA  (   )   HIDROCLOROTIAZIDA (   )   SINVASTATINA (   )    ASPIRINA (   ) OUTROS? __________________________________________________________________________________________</w:t>
            </w:r>
          </w:p>
          <w:p w:rsidR="00BF0549" w:rsidRPr="00BF0549" w:rsidRDefault="00BF0549">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rPr>
            </w:pP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u w:val="single"/>
              </w:rPr>
              <w:t>DADOS ANTROPOMÉTRICOS COLETADOS</w:t>
            </w:r>
            <w:r w:rsidRPr="00BF0549">
              <w:rPr>
                <w:rFonts w:ascii="Times New Roman" w:hAnsi="Times New Roman" w:cs="Times New Roman"/>
                <w:b/>
                <w:bCs/>
                <w:sz w:val="16"/>
                <w:szCs w:val="16"/>
              </w:rPr>
              <w:t>:</w:t>
            </w:r>
          </w:p>
          <w:p w:rsidR="00BF0549" w:rsidRPr="00BF0549" w:rsidRDefault="00BF0549">
            <w:pPr>
              <w:pStyle w:val="Default"/>
              <w:rPr>
                <w:rFonts w:ascii="Times New Roman" w:hAnsi="Times New Roman" w:cs="Times New Roman"/>
                <w:b/>
                <w:bCs/>
                <w:sz w:val="16"/>
                <w:szCs w:val="16"/>
              </w:rPr>
            </w:pPr>
            <w:proofErr w:type="gramStart"/>
            <w:r w:rsidRPr="00BF0549">
              <w:rPr>
                <w:rFonts w:ascii="Times New Roman" w:hAnsi="Times New Roman" w:cs="Times New Roman"/>
                <w:b/>
                <w:bCs/>
                <w:sz w:val="16"/>
                <w:szCs w:val="16"/>
              </w:rPr>
              <w:t>PESO :</w:t>
            </w:r>
            <w:proofErr w:type="gramEnd"/>
            <w:r w:rsidRPr="00BF0549">
              <w:rPr>
                <w:rFonts w:ascii="Times New Roman" w:hAnsi="Times New Roman" w:cs="Times New Roman"/>
                <w:b/>
                <w:bCs/>
                <w:sz w:val="16"/>
                <w:szCs w:val="16"/>
              </w:rPr>
              <w:t xml:space="preserve"> ______ Kg  ALTURA: ______m , IMC ______ Kg/m²  DIAGNÓSTICO: ______________________________________________</w:t>
            </w:r>
          </w:p>
          <w:p w:rsidR="00BF0549" w:rsidRPr="00BF0549" w:rsidRDefault="00BF0549">
            <w:pPr>
              <w:pStyle w:val="Default"/>
              <w:rPr>
                <w:rFonts w:ascii="Times New Roman" w:hAnsi="Times New Roman" w:cs="Times New Roman"/>
                <w:b/>
                <w:bCs/>
                <w:sz w:val="16"/>
                <w:szCs w:val="16"/>
              </w:rPr>
            </w:pPr>
            <w:r w:rsidRPr="00BF0549">
              <w:rPr>
                <w:rFonts w:ascii="Times New Roman" w:hAnsi="Times New Roman" w:cs="Times New Roman"/>
                <w:b/>
                <w:bCs/>
                <w:sz w:val="16"/>
                <w:szCs w:val="16"/>
              </w:rPr>
              <w:t xml:space="preserve">CIRCUNFERERÊNCIA ABDOMINAL: ________ cm </w:t>
            </w:r>
          </w:p>
          <w:p w:rsidR="00BF0549" w:rsidRPr="00BF0549" w:rsidRDefault="00BF0549">
            <w:pPr>
              <w:pStyle w:val="Default"/>
              <w:spacing w:line="276" w:lineRule="auto"/>
              <w:rPr>
                <w:rFonts w:ascii="Times New Roman" w:hAnsi="Times New Roman" w:cs="Times New Roman"/>
                <w:b/>
                <w:bCs/>
                <w:sz w:val="16"/>
                <w:szCs w:val="16"/>
              </w:rPr>
            </w:pPr>
          </w:p>
          <w:p w:rsidR="00BF0549" w:rsidRPr="00BF0549" w:rsidRDefault="00BF0549">
            <w:pPr>
              <w:pStyle w:val="Default"/>
              <w:spacing w:line="276" w:lineRule="auto"/>
              <w:rPr>
                <w:rFonts w:ascii="Times New Roman" w:hAnsi="Times New Roman" w:cs="Times New Roman"/>
                <w:b/>
                <w:bCs/>
                <w:sz w:val="16"/>
                <w:szCs w:val="16"/>
                <w:u w:val="single"/>
              </w:rPr>
            </w:pPr>
            <w:r w:rsidRPr="00BF0549">
              <w:rPr>
                <w:rFonts w:ascii="Times New Roman" w:hAnsi="Times New Roman" w:cs="Times New Roman"/>
                <w:b/>
                <w:bCs/>
                <w:sz w:val="16"/>
                <w:szCs w:val="16"/>
                <w:u w:val="single"/>
              </w:rPr>
              <w:t>EXAMES LABORATORIAIS:</w:t>
            </w:r>
          </w:p>
          <w:tbl>
            <w:tblPr>
              <w:tblStyle w:val="Tabelacomgrade"/>
              <w:tblW w:w="9780" w:type="dxa"/>
              <w:jc w:val="center"/>
              <w:tblLayout w:type="fixed"/>
              <w:tblLook w:val="04A0" w:firstRow="1" w:lastRow="0" w:firstColumn="1" w:lastColumn="0" w:noHBand="0" w:noVBand="1"/>
            </w:tblPr>
            <w:tblGrid>
              <w:gridCol w:w="3118"/>
              <w:gridCol w:w="1701"/>
              <w:gridCol w:w="2962"/>
              <w:gridCol w:w="1999"/>
            </w:tblGrid>
            <w:tr w:rsidR="00BF0549" w:rsidRPr="00BF0549">
              <w:trPr>
                <w:jc w:val="center"/>
              </w:trPr>
              <w:tc>
                <w:tcPr>
                  <w:tcW w:w="3118" w:type="dxa"/>
                  <w:tcBorders>
                    <w:top w:val="single" w:sz="4" w:space="0" w:color="auto"/>
                    <w:left w:val="single" w:sz="4" w:space="0" w:color="auto"/>
                    <w:bottom w:val="single" w:sz="4" w:space="0" w:color="auto"/>
                    <w:right w:val="single" w:sz="4" w:space="0" w:color="auto"/>
                  </w:tcBorders>
                </w:tcPr>
                <w:p w:rsidR="00BF0549" w:rsidRPr="00BF0549" w:rsidRDefault="00BF0549">
                  <w:pPr>
                    <w:jc w:val="center"/>
                    <w:rPr>
                      <w:b/>
                      <w:sz w:val="16"/>
                      <w:szCs w:val="16"/>
                      <w:u w:val="single"/>
                    </w:rPr>
                  </w:pPr>
                </w:p>
              </w:tc>
              <w:tc>
                <w:tcPr>
                  <w:tcW w:w="1701" w:type="dxa"/>
                  <w:tcBorders>
                    <w:top w:val="single" w:sz="4" w:space="0" w:color="auto"/>
                    <w:left w:val="single" w:sz="4" w:space="0" w:color="auto"/>
                    <w:bottom w:val="single" w:sz="4" w:space="0" w:color="auto"/>
                    <w:right w:val="single" w:sz="4" w:space="0" w:color="auto"/>
                  </w:tcBorders>
                  <w:hideMark/>
                </w:tcPr>
                <w:p w:rsidR="00BF0549" w:rsidRPr="00BF0549" w:rsidRDefault="00BF0549">
                  <w:pPr>
                    <w:jc w:val="center"/>
                    <w:rPr>
                      <w:b/>
                      <w:sz w:val="16"/>
                      <w:szCs w:val="16"/>
                    </w:rPr>
                  </w:pPr>
                  <w:r w:rsidRPr="00BF0549">
                    <w:rPr>
                      <w:b/>
                      <w:sz w:val="16"/>
                      <w:szCs w:val="16"/>
                    </w:rPr>
                    <w:t>Valores</w:t>
                  </w:r>
                </w:p>
              </w:tc>
              <w:tc>
                <w:tcPr>
                  <w:tcW w:w="2962" w:type="dxa"/>
                  <w:tcBorders>
                    <w:top w:val="single" w:sz="4" w:space="0" w:color="auto"/>
                    <w:left w:val="single" w:sz="4" w:space="0" w:color="auto"/>
                    <w:bottom w:val="single" w:sz="4" w:space="0" w:color="auto"/>
                    <w:right w:val="single" w:sz="4" w:space="0" w:color="auto"/>
                  </w:tcBorders>
                </w:tcPr>
                <w:p w:rsidR="00BF0549" w:rsidRPr="00BF0549" w:rsidRDefault="00BF0549">
                  <w:pPr>
                    <w:jc w:val="center"/>
                    <w:rPr>
                      <w:b/>
                      <w:sz w:val="16"/>
                      <w:szCs w:val="16"/>
                      <w:u w:val="single"/>
                    </w:rPr>
                  </w:pPr>
                </w:p>
              </w:tc>
              <w:tc>
                <w:tcPr>
                  <w:tcW w:w="1999" w:type="dxa"/>
                  <w:tcBorders>
                    <w:top w:val="single" w:sz="4" w:space="0" w:color="auto"/>
                    <w:left w:val="single" w:sz="4" w:space="0" w:color="auto"/>
                    <w:bottom w:val="single" w:sz="4" w:space="0" w:color="auto"/>
                    <w:right w:val="single" w:sz="4" w:space="0" w:color="auto"/>
                  </w:tcBorders>
                  <w:hideMark/>
                </w:tcPr>
                <w:p w:rsidR="00BF0549" w:rsidRPr="00BF0549" w:rsidRDefault="00BF0549">
                  <w:pPr>
                    <w:jc w:val="center"/>
                    <w:rPr>
                      <w:b/>
                      <w:sz w:val="16"/>
                      <w:szCs w:val="16"/>
                    </w:rPr>
                  </w:pPr>
                  <w:r w:rsidRPr="00BF0549">
                    <w:rPr>
                      <w:b/>
                      <w:sz w:val="16"/>
                      <w:szCs w:val="16"/>
                    </w:rPr>
                    <w:t>Valores</w:t>
                  </w:r>
                </w:p>
              </w:tc>
            </w:tr>
            <w:tr w:rsidR="00BF0549" w:rsidRPr="00BF0549">
              <w:trPr>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b/>
                      <w:sz w:val="16"/>
                      <w:szCs w:val="16"/>
                    </w:rPr>
                  </w:pPr>
                  <w:r w:rsidRPr="00BF0549">
                    <w:rPr>
                      <w:b/>
                      <w:sz w:val="16"/>
                      <w:szCs w:val="16"/>
                    </w:rPr>
                    <w:t xml:space="preserve">GLICEMIA </w:t>
                  </w:r>
                  <w:r w:rsidRPr="00BF0549">
                    <w:rPr>
                      <w:rFonts w:eastAsia="Calibri"/>
                      <w:sz w:val="16"/>
                      <w:szCs w:val="16"/>
                    </w:rPr>
                    <w:t>70-99mg/dL</w:t>
                  </w:r>
                </w:p>
              </w:tc>
              <w:tc>
                <w:tcPr>
                  <w:tcW w:w="1701" w:type="dxa"/>
                  <w:tcBorders>
                    <w:top w:val="single" w:sz="4" w:space="0" w:color="auto"/>
                    <w:left w:val="single" w:sz="4" w:space="0" w:color="auto"/>
                    <w:bottom w:val="single" w:sz="4" w:space="0" w:color="auto"/>
                    <w:right w:val="single" w:sz="4" w:space="0" w:color="auto"/>
                  </w:tcBorders>
                  <w:vAlign w:val="center"/>
                </w:tcPr>
                <w:p w:rsidR="00BF0549" w:rsidRPr="00BF0549" w:rsidRDefault="00BF0549">
                  <w:pPr>
                    <w:rPr>
                      <w:b/>
                      <w:sz w:val="16"/>
                      <w:szCs w:val="16"/>
                      <w:u w:val="single"/>
                    </w:rPr>
                  </w:pPr>
                </w:p>
              </w:tc>
              <w:tc>
                <w:tcPr>
                  <w:tcW w:w="296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sz w:val="16"/>
                      <w:szCs w:val="16"/>
                      <w:lang w:eastAsia="pt-BR"/>
                    </w:rPr>
                  </w:pPr>
                  <w:r w:rsidRPr="00BF0549">
                    <w:rPr>
                      <w:b/>
                      <w:sz w:val="16"/>
                      <w:szCs w:val="16"/>
                    </w:rPr>
                    <w:t>LDL</w:t>
                  </w:r>
                  <w:r w:rsidRPr="00BF0549">
                    <w:rPr>
                      <w:sz w:val="16"/>
                      <w:szCs w:val="16"/>
                    </w:rPr>
                    <w:t xml:space="preserve"> Ótimo: &lt; 100</w:t>
                  </w:r>
                  <w:r w:rsidRPr="00BF0549">
                    <w:rPr>
                      <w:b/>
                      <w:sz w:val="16"/>
                      <w:szCs w:val="16"/>
                    </w:rPr>
                    <w:t xml:space="preserve"> </w:t>
                  </w:r>
                  <w:r w:rsidRPr="00BF0549">
                    <w:rPr>
                      <w:sz w:val="16"/>
                      <w:szCs w:val="16"/>
                    </w:rPr>
                    <w:t>mg/dL</w:t>
                  </w:r>
                </w:p>
                <w:p w:rsidR="00BF0549" w:rsidRPr="00BF0549" w:rsidRDefault="00BF0549">
                  <w:pPr>
                    <w:rPr>
                      <w:b/>
                      <w:sz w:val="16"/>
                      <w:szCs w:val="16"/>
                      <w:u w:val="single"/>
                    </w:rPr>
                  </w:pPr>
                  <w:r w:rsidRPr="00BF0549">
                    <w:rPr>
                      <w:sz w:val="16"/>
                      <w:szCs w:val="16"/>
                    </w:rPr>
                    <w:t xml:space="preserve">        Desejável: 100- 129 mg/dL</w:t>
                  </w:r>
                </w:p>
              </w:tc>
              <w:tc>
                <w:tcPr>
                  <w:tcW w:w="1999" w:type="dxa"/>
                  <w:tcBorders>
                    <w:top w:val="single" w:sz="4" w:space="0" w:color="auto"/>
                    <w:left w:val="single" w:sz="4" w:space="0" w:color="auto"/>
                    <w:bottom w:val="single" w:sz="4" w:space="0" w:color="auto"/>
                    <w:right w:val="single" w:sz="4" w:space="0" w:color="auto"/>
                  </w:tcBorders>
                </w:tcPr>
                <w:p w:rsidR="00BF0549" w:rsidRPr="00BF0549" w:rsidRDefault="00BF0549">
                  <w:pPr>
                    <w:rPr>
                      <w:b/>
                      <w:sz w:val="16"/>
                      <w:szCs w:val="16"/>
                      <w:u w:val="single"/>
                    </w:rPr>
                  </w:pPr>
                </w:p>
              </w:tc>
            </w:tr>
            <w:tr w:rsidR="00BF0549" w:rsidRPr="00BF0549">
              <w:trPr>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b/>
                      <w:sz w:val="16"/>
                      <w:szCs w:val="16"/>
                    </w:rPr>
                  </w:pPr>
                  <w:r w:rsidRPr="00BF0549">
                    <w:rPr>
                      <w:b/>
                      <w:sz w:val="16"/>
                      <w:szCs w:val="16"/>
                    </w:rPr>
                    <w:t xml:space="preserve">COLESTEROL TOTAL </w:t>
                  </w:r>
                  <w:r w:rsidRPr="00BF0549">
                    <w:rPr>
                      <w:sz w:val="16"/>
                      <w:szCs w:val="16"/>
                    </w:rPr>
                    <w:t>&lt;200 mg/dL</w:t>
                  </w:r>
                </w:p>
              </w:tc>
              <w:tc>
                <w:tcPr>
                  <w:tcW w:w="1701" w:type="dxa"/>
                  <w:tcBorders>
                    <w:top w:val="single" w:sz="4" w:space="0" w:color="auto"/>
                    <w:left w:val="single" w:sz="4" w:space="0" w:color="auto"/>
                    <w:bottom w:val="single" w:sz="4" w:space="0" w:color="auto"/>
                    <w:right w:val="single" w:sz="4" w:space="0" w:color="auto"/>
                  </w:tcBorders>
                  <w:vAlign w:val="center"/>
                </w:tcPr>
                <w:p w:rsidR="00BF0549" w:rsidRPr="00BF0549" w:rsidRDefault="00BF0549">
                  <w:pPr>
                    <w:rPr>
                      <w:b/>
                      <w:sz w:val="16"/>
                      <w:szCs w:val="16"/>
                      <w:u w:val="single"/>
                    </w:rPr>
                  </w:pPr>
                </w:p>
                <w:p w:rsidR="00BF0549" w:rsidRPr="00BF0549" w:rsidRDefault="00BF0549">
                  <w:pPr>
                    <w:rPr>
                      <w:b/>
                      <w:sz w:val="16"/>
                      <w:szCs w:val="16"/>
                      <w:u w:val="single"/>
                    </w:rPr>
                  </w:pPr>
                </w:p>
              </w:tc>
              <w:tc>
                <w:tcPr>
                  <w:tcW w:w="296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b/>
                      <w:sz w:val="16"/>
                      <w:szCs w:val="16"/>
                    </w:rPr>
                  </w:pPr>
                  <w:r w:rsidRPr="00BF0549">
                    <w:rPr>
                      <w:b/>
                      <w:sz w:val="16"/>
                      <w:szCs w:val="16"/>
                    </w:rPr>
                    <w:t xml:space="preserve">COLESTEROL VLDL </w:t>
                  </w:r>
                  <w:r w:rsidRPr="00BF0549">
                    <w:rPr>
                      <w:sz w:val="16"/>
                      <w:szCs w:val="16"/>
                    </w:rPr>
                    <w:t>10 a 50 mg/dL</w:t>
                  </w:r>
                </w:p>
              </w:tc>
              <w:tc>
                <w:tcPr>
                  <w:tcW w:w="1999" w:type="dxa"/>
                  <w:tcBorders>
                    <w:top w:val="single" w:sz="4" w:space="0" w:color="auto"/>
                    <w:left w:val="single" w:sz="4" w:space="0" w:color="auto"/>
                    <w:bottom w:val="single" w:sz="4" w:space="0" w:color="auto"/>
                    <w:right w:val="single" w:sz="4" w:space="0" w:color="auto"/>
                  </w:tcBorders>
                </w:tcPr>
                <w:p w:rsidR="00BF0549" w:rsidRPr="00BF0549" w:rsidRDefault="00BF0549">
                  <w:pPr>
                    <w:rPr>
                      <w:b/>
                      <w:sz w:val="16"/>
                      <w:szCs w:val="16"/>
                      <w:u w:val="single"/>
                    </w:rPr>
                  </w:pPr>
                </w:p>
              </w:tc>
            </w:tr>
            <w:tr w:rsidR="00BF0549" w:rsidRPr="00BF0549">
              <w:trPr>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sz w:val="16"/>
                      <w:szCs w:val="16"/>
                      <w:lang w:eastAsia="pt-BR"/>
                    </w:rPr>
                  </w:pPr>
                  <w:r w:rsidRPr="00BF0549">
                    <w:rPr>
                      <w:b/>
                      <w:sz w:val="16"/>
                      <w:szCs w:val="16"/>
                    </w:rPr>
                    <w:t xml:space="preserve">HDL  </w:t>
                  </w:r>
                  <w:r w:rsidRPr="00BF0549">
                    <w:rPr>
                      <w:sz w:val="16"/>
                      <w:szCs w:val="16"/>
                    </w:rPr>
                    <w:t>&gt; OU = a 40 mg/dL</w:t>
                  </w:r>
                </w:p>
              </w:tc>
              <w:tc>
                <w:tcPr>
                  <w:tcW w:w="1701" w:type="dxa"/>
                  <w:tcBorders>
                    <w:top w:val="single" w:sz="4" w:space="0" w:color="auto"/>
                    <w:left w:val="single" w:sz="4" w:space="0" w:color="auto"/>
                    <w:bottom w:val="single" w:sz="4" w:space="0" w:color="auto"/>
                    <w:right w:val="single" w:sz="4" w:space="0" w:color="auto"/>
                  </w:tcBorders>
                  <w:vAlign w:val="center"/>
                </w:tcPr>
                <w:p w:rsidR="00BF0549" w:rsidRPr="00BF0549" w:rsidRDefault="00BF0549">
                  <w:pPr>
                    <w:rPr>
                      <w:b/>
                      <w:sz w:val="16"/>
                      <w:szCs w:val="16"/>
                      <w:u w:val="single"/>
                    </w:rPr>
                  </w:pPr>
                </w:p>
              </w:tc>
              <w:tc>
                <w:tcPr>
                  <w:tcW w:w="2962" w:type="dxa"/>
                  <w:tcBorders>
                    <w:top w:val="single" w:sz="4" w:space="0" w:color="auto"/>
                    <w:left w:val="single" w:sz="4" w:space="0" w:color="auto"/>
                    <w:bottom w:val="single" w:sz="4" w:space="0" w:color="auto"/>
                    <w:right w:val="single" w:sz="4" w:space="0" w:color="auto"/>
                  </w:tcBorders>
                  <w:vAlign w:val="center"/>
                  <w:hideMark/>
                </w:tcPr>
                <w:p w:rsidR="00BF0549" w:rsidRPr="00BF0549" w:rsidRDefault="00BF0549">
                  <w:pPr>
                    <w:rPr>
                      <w:b/>
                      <w:sz w:val="16"/>
                      <w:szCs w:val="16"/>
                    </w:rPr>
                  </w:pPr>
                  <w:r w:rsidRPr="00BF0549">
                    <w:rPr>
                      <w:b/>
                      <w:sz w:val="16"/>
                      <w:szCs w:val="16"/>
                    </w:rPr>
                    <w:t xml:space="preserve">TRIGLICERIDES </w:t>
                  </w:r>
                  <w:r w:rsidRPr="00BF0549">
                    <w:rPr>
                      <w:sz w:val="16"/>
                      <w:szCs w:val="16"/>
                    </w:rPr>
                    <w:t>&lt; 150 mg/dl</w:t>
                  </w:r>
                </w:p>
              </w:tc>
              <w:tc>
                <w:tcPr>
                  <w:tcW w:w="1999" w:type="dxa"/>
                  <w:tcBorders>
                    <w:top w:val="single" w:sz="4" w:space="0" w:color="auto"/>
                    <w:left w:val="single" w:sz="4" w:space="0" w:color="auto"/>
                    <w:bottom w:val="single" w:sz="4" w:space="0" w:color="auto"/>
                    <w:right w:val="single" w:sz="4" w:space="0" w:color="auto"/>
                  </w:tcBorders>
                </w:tcPr>
                <w:p w:rsidR="00BF0549" w:rsidRPr="00BF0549" w:rsidRDefault="00BF0549">
                  <w:pPr>
                    <w:rPr>
                      <w:b/>
                      <w:sz w:val="16"/>
                      <w:szCs w:val="16"/>
                      <w:u w:val="single"/>
                    </w:rPr>
                  </w:pPr>
                </w:p>
              </w:tc>
            </w:tr>
          </w:tbl>
          <w:p w:rsidR="00BF0549" w:rsidRPr="00BF0549" w:rsidRDefault="00BF0549">
            <w:pPr>
              <w:pStyle w:val="Default"/>
              <w:rPr>
                <w:rFonts w:ascii="Times New Roman" w:hAnsi="Times New Roman" w:cs="Times New Roman"/>
                <w:b/>
                <w:bCs/>
                <w:sz w:val="16"/>
                <w:szCs w:val="16"/>
              </w:rPr>
            </w:pPr>
          </w:p>
        </w:tc>
      </w:tr>
    </w:tbl>
    <w:p w:rsidR="00BF0549" w:rsidRPr="00412D43" w:rsidRDefault="00412D43" w:rsidP="00412D43">
      <w:pPr>
        <w:tabs>
          <w:tab w:val="left" w:pos="3915"/>
        </w:tabs>
        <w:ind w:firstLine="0"/>
        <w:jc w:val="left"/>
        <w:rPr>
          <w:b/>
          <w:sz w:val="20"/>
          <w:szCs w:val="20"/>
        </w:rPr>
      </w:pPr>
      <w:r w:rsidRPr="00412D43">
        <w:rPr>
          <w:b/>
          <w:sz w:val="20"/>
          <w:szCs w:val="20"/>
        </w:rPr>
        <w:lastRenderedPageBreak/>
        <w:t>***</w:t>
      </w:r>
      <w:r>
        <w:rPr>
          <w:b/>
          <w:sz w:val="20"/>
          <w:szCs w:val="20"/>
        </w:rPr>
        <w:t>Formulário de pesquisa</w:t>
      </w:r>
      <w:r w:rsidRPr="00412D43">
        <w:rPr>
          <w:b/>
          <w:sz w:val="20"/>
          <w:szCs w:val="20"/>
        </w:rPr>
        <w:t xml:space="preserve"> desenvolvido pelas pesquisadoras.</w:t>
      </w:r>
    </w:p>
    <w:sectPr w:rsidR="00BF0549" w:rsidRPr="00412D43" w:rsidSect="00D04BA8">
      <w:pgSz w:w="11906" w:h="16838"/>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EA" w:rsidRDefault="00E705EA" w:rsidP="000312D6">
      <w:pPr>
        <w:spacing w:after="0" w:line="240" w:lineRule="auto"/>
      </w:pPr>
      <w:r>
        <w:separator/>
      </w:r>
    </w:p>
  </w:endnote>
  <w:endnote w:type="continuationSeparator" w:id="0">
    <w:p w:rsidR="00E705EA" w:rsidRDefault="00E705EA" w:rsidP="0003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EA" w:rsidRDefault="00E705EA" w:rsidP="000312D6">
      <w:pPr>
        <w:spacing w:after="0" w:line="240" w:lineRule="auto"/>
      </w:pPr>
      <w:r>
        <w:separator/>
      </w:r>
    </w:p>
  </w:footnote>
  <w:footnote w:type="continuationSeparator" w:id="0">
    <w:p w:rsidR="00E705EA" w:rsidRDefault="00E705EA" w:rsidP="00031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835"/>
    <w:multiLevelType w:val="hybridMultilevel"/>
    <w:tmpl w:val="5A7CC038"/>
    <w:lvl w:ilvl="0" w:tplc="4248332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95A2470"/>
    <w:multiLevelType w:val="hybridMultilevel"/>
    <w:tmpl w:val="B3847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E41D06"/>
    <w:multiLevelType w:val="hybridMultilevel"/>
    <w:tmpl w:val="467EA62C"/>
    <w:lvl w:ilvl="0" w:tplc="28A0F59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4B37349D"/>
    <w:multiLevelType w:val="hybridMultilevel"/>
    <w:tmpl w:val="1EFE5752"/>
    <w:lvl w:ilvl="0" w:tplc="E6D043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337ADA"/>
    <w:multiLevelType w:val="hybridMultilevel"/>
    <w:tmpl w:val="2F4018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DB5D84"/>
    <w:multiLevelType w:val="hybridMultilevel"/>
    <w:tmpl w:val="B352E824"/>
    <w:lvl w:ilvl="0" w:tplc="3AD68FA4">
      <w:start w:val="1"/>
      <w:numFmt w:val="decimal"/>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667A32C1"/>
    <w:multiLevelType w:val="hybridMultilevel"/>
    <w:tmpl w:val="B96AB1CE"/>
    <w:lvl w:ilvl="0" w:tplc="7C7ACA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734B503F"/>
    <w:multiLevelType w:val="multilevel"/>
    <w:tmpl w:val="949C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BE"/>
    <w:rsid w:val="00002B97"/>
    <w:rsid w:val="00006EBE"/>
    <w:rsid w:val="000241C8"/>
    <w:rsid w:val="00027642"/>
    <w:rsid w:val="000312D6"/>
    <w:rsid w:val="000350E7"/>
    <w:rsid w:val="00036AD7"/>
    <w:rsid w:val="00037F0D"/>
    <w:rsid w:val="00042A0B"/>
    <w:rsid w:val="000440A9"/>
    <w:rsid w:val="00056770"/>
    <w:rsid w:val="00063A72"/>
    <w:rsid w:val="00067A3F"/>
    <w:rsid w:val="0007472D"/>
    <w:rsid w:val="00083255"/>
    <w:rsid w:val="00087BFC"/>
    <w:rsid w:val="000B4E3D"/>
    <w:rsid w:val="000B6198"/>
    <w:rsid w:val="000B6ACC"/>
    <w:rsid w:val="000B6DCA"/>
    <w:rsid w:val="000C1065"/>
    <w:rsid w:val="000D2601"/>
    <w:rsid w:val="000F0F83"/>
    <w:rsid w:val="001131FF"/>
    <w:rsid w:val="001255F8"/>
    <w:rsid w:val="00132610"/>
    <w:rsid w:val="0013755D"/>
    <w:rsid w:val="0014794B"/>
    <w:rsid w:val="00154A92"/>
    <w:rsid w:val="00155386"/>
    <w:rsid w:val="00181FC0"/>
    <w:rsid w:val="00186331"/>
    <w:rsid w:val="001A417F"/>
    <w:rsid w:val="001C030C"/>
    <w:rsid w:val="001C5FDE"/>
    <w:rsid w:val="001D58E8"/>
    <w:rsid w:val="001E086A"/>
    <w:rsid w:val="001E44B5"/>
    <w:rsid w:val="001E6AE6"/>
    <w:rsid w:val="001F2B3B"/>
    <w:rsid w:val="001F609A"/>
    <w:rsid w:val="002017C4"/>
    <w:rsid w:val="00211D68"/>
    <w:rsid w:val="00227566"/>
    <w:rsid w:val="00232D3C"/>
    <w:rsid w:val="002566F3"/>
    <w:rsid w:val="002708E7"/>
    <w:rsid w:val="002831EF"/>
    <w:rsid w:val="002A76B2"/>
    <w:rsid w:val="002D25B3"/>
    <w:rsid w:val="002D6477"/>
    <w:rsid w:val="002D7B64"/>
    <w:rsid w:val="002E330B"/>
    <w:rsid w:val="002F2015"/>
    <w:rsid w:val="0031351A"/>
    <w:rsid w:val="00314FF4"/>
    <w:rsid w:val="00326CD3"/>
    <w:rsid w:val="00336B67"/>
    <w:rsid w:val="00342D26"/>
    <w:rsid w:val="00344A32"/>
    <w:rsid w:val="003459BE"/>
    <w:rsid w:val="00350F85"/>
    <w:rsid w:val="003530CB"/>
    <w:rsid w:val="003574DC"/>
    <w:rsid w:val="00361AF7"/>
    <w:rsid w:val="003708EA"/>
    <w:rsid w:val="003761B0"/>
    <w:rsid w:val="00376E97"/>
    <w:rsid w:val="003B4FCC"/>
    <w:rsid w:val="003D61E4"/>
    <w:rsid w:val="003F7B1D"/>
    <w:rsid w:val="00412D43"/>
    <w:rsid w:val="00412F36"/>
    <w:rsid w:val="004302F6"/>
    <w:rsid w:val="00434B0D"/>
    <w:rsid w:val="00486B08"/>
    <w:rsid w:val="00494A12"/>
    <w:rsid w:val="00496C57"/>
    <w:rsid w:val="004C0BCE"/>
    <w:rsid w:val="004C63ED"/>
    <w:rsid w:val="004C6FAE"/>
    <w:rsid w:val="004D44A1"/>
    <w:rsid w:val="004D6241"/>
    <w:rsid w:val="004E109A"/>
    <w:rsid w:val="004E5C63"/>
    <w:rsid w:val="004F0E42"/>
    <w:rsid w:val="004F2066"/>
    <w:rsid w:val="00504C04"/>
    <w:rsid w:val="00505F5A"/>
    <w:rsid w:val="005076BE"/>
    <w:rsid w:val="0053451B"/>
    <w:rsid w:val="00547E6E"/>
    <w:rsid w:val="00547EC0"/>
    <w:rsid w:val="005534D1"/>
    <w:rsid w:val="005802FB"/>
    <w:rsid w:val="005900FA"/>
    <w:rsid w:val="00592189"/>
    <w:rsid w:val="0059686C"/>
    <w:rsid w:val="005A0C04"/>
    <w:rsid w:val="005B4E88"/>
    <w:rsid w:val="005B4F1D"/>
    <w:rsid w:val="005B5D8A"/>
    <w:rsid w:val="005C382A"/>
    <w:rsid w:val="005C43F0"/>
    <w:rsid w:val="005C7FFD"/>
    <w:rsid w:val="005E6ED3"/>
    <w:rsid w:val="005F1F86"/>
    <w:rsid w:val="006119F0"/>
    <w:rsid w:val="006128B7"/>
    <w:rsid w:val="006145A3"/>
    <w:rsid w:val="00620C5C"/>
    <w:rsid w:val="0063106B"/>
    <w:rsid w:val="00632A38"/>
    <w:rsid w:val="0064443D"/>
    <w:rsid w:val="00651D5A"/>
    <w:rsid w:val="00665280"/>
    <w:rsid w:val="00675C92"/>
    <w:rsid w:val="006870F7"/>
    <w:rsid w:val="006B635F"/>
    <w:rsid w:val="006C1104"/>
    <w:rsid w:val="006D0AB7"/>
    <w:rsid w:val="006D2D5A"/>
    <w:rsid w:val="006F4C19"/>
    <w:rsid w:val="00740376"/>
    <w:rsid w:val="007434F2"/>
    <w:rsid w:val="007438F1"/>
    <w:rsid w:val="00746C3D"/>
    <w:rsid w:val="00751094"/>
    <w:rsid w:val="007518C0"/>
    <w:rsid w:val="00765311"/>
    <w:rsid w:val="007667EB"/>
    <w:rsid w:val="007749A7"/>
    <w:rsid w:val="00776EF2"/>
    <w:rsid w:val="00781AC3"/>
    <w:rsid w:val="0078627C"/>
    <w:rsid w:val="0079676B"/>
    <w:rsid w:val="007A09D8"/>
    <w:rsid w:val="007A2657"/>
    <w:rsid w:val="007B4869"/>
    <w:rsid w:val="007B623B"/>
    <w:rsid w:val="007B745D"/>
    <w:rsid w:val="007C13CF"/>
    <w:rsid w:val="007E3ED1"/>
    <w:rsid w:val="007F03C5"/>
    <w:rsid w:val="0083140D"/>
    <w:rsid w:val="0083449B"/>
    <w:rsid w:val="00877D4C"/>
    <w:rsid w:val="00895AE0"/>
    <w:rsid w:val="008A0990"/>
    <w:rsid w:val="008A5808"/>
    <w:rsid w:val="008B31F9"/>
    <w:rsid w:val="008C1CBC"/>
    <w:rsid w:val="008C53BA"/>
    <w:rsid w:val="008F30CE"/>
    <w:rsid w:val="008F3F26"/>
    <w:rsid w:val="008F491D"/>
    <w:rsid w:val="00900DDF"/>
    <w:rsid w:val="00907791"/>
    <w:rsid w:val="009151A5"/>
    <w:rsid w:val="009440E5"/>
    <w:rsid w:val="009449C4"/>
    <w:rsid w:val="009477CF"/>
    <w:rsid w:val="00965DB8"/>
    <w:rsid w:val="00971091"/>
    <w:rsid w:val="00971C5E"/>
    <w:rsid w:val="0097636C"/>
    <w:rsid w:val="00986757"/>
    <w:rsid w:val="009956D5"/>
    <w:rsid w:val="009963D1"/>
    <w:rsid w:val="009A17A6"/>
    <w:rsid w:val="009A18CA"/>
    <w:rsid w:val="009B6743"/>
    <w:rsid w:val="009D01A3"/>
    <w:rsid w:val="009D62B9"/>
    <w:rsid w:val="009E191A"/>
    <w:rsid w:val="00A14343"/>
    <w:rsid w:val="00A243F7"/>
    <w:rsid w:val="00A3540A"/>
    <w:rsid w:val="00A37D49"/>
    <w:rsid w:val="00A47B05"/>
    <w:rsid w:val="00A50990"/>
    <w:rsid w:val="00A54E37"/>
    <w:rsid w:val="00A63576"/>
    <w:rsid w:val="00A63BB1"/>
    <w:rsid w:val="00A82048"/>
    <w:rsid w:val="00A91908"/>
    <w:rsid w:val="00A919BE"/>
    <w:rsid w:val="00A93285"/>
    <w:rsid w:val="00A93817"/>
    <w:rsid w:val="00A94AB5"/>
    <w:rsid w:val="00A95EDC"/>
    <w:rsid w:val="00AA6D6C"/>
    <w:rsid w:val="00AC6C4F"/>
    <w:rsid w:val="00AC6C8A"/>
    <w:rsid w:val="00AD2B88"/>
    <w:rsid w:val="00B03585"/>
    <w:rsid w:val="00B04795"/>
    <w:rsid w:val="00B2079A"/>
    <w:rsid w:val="00B2390D"/>
    <w:rsid w:val="00B2497C"/>
    <w:rsid w:val="00B328CA"/>
    <w:rsid w:val="00B3407D"/>
    <w:rsid w:val="00B37025"/>
    <w:rsid w:val="00B51449"/>
    <w:rsid w:val="00B516A7"/>
    <w:rsid w:val="00B52138"/>
    <w:rsid w:val="00B52CEE"/>
    <w:rsid w:val="00B55064"/>
    <w:rsid w:val="00B65A3D"/>
    <w:rsid w:val="00B81BC2"/>
    <w:rsid w:val="00B83901"/>
    <w:rsid w:val="00B9117B"/>
    <w:rsid w:val="00B91742"/>
    <w:rsid w:val="00BA14CC"/>
    <w:rsid w:val="00BA221E"/>
    <w:rsid w:val="00BB2259"/>
    <w:rsid w:val="00BC4867"/>
    <w:rsid w:val="00BD2B74"/>
    <w:rsid w:val="00BD2E9E"/>
    <w:rsid w:val="00BE107F"/>
    <w:rsid w:val="00BE78A4"/>
    <w:rsid w:val="00BF0549"/>
    <w:rsid w:val="00BF2987"/>
    <w:rsid w:val="00BF7AD2"/>
    <w:rsid w:val="00C06B10"/>
    <w:rsid w:val="00C20F50"/>
    <w:rsid w:val="00C2468C"/>
    <w:rsid w:val="00C2564B"/>
    <w:rsid w:val="00C51327"/>
    <w:rsid w:val="00C61B9A"/>
    <w:rsid w:val="00C6686C"/>
    <w:rsid w:val="00C72E59"/>
    <w:rsid w:val="00C74616"/>
    <w:rsid w:val="00C7769A"/>
    <w:rsid w:val="00C97E7C"/>
    <w:rsid w:val="00CA2784"/>
    <w:rsid w:val="00CA6701"/>
    <w:rsid w:val="00CB45D0"/>
    <w:rsid w:val="00CD0B64"/>
    <w:rsid w:val="00CE06A2"/>
    <w:rsid w:val="00CE2B54"/>
    <w:rsid w:val="00CE4F3A"/>
    <w:rsid w:val="00CF02E3"/>
    <w:rsid w:val="00CF2B8C"/>
    <w:rsid w:val="00CF771C"/>
    <w:rsid w:val="00D03398"/>
    <w:rsid w:val="00D03F51"/>
    <w:rsid w:val="00D04BA8"/>
    <w:rsid w:val="00D164A1"/>
    <w:rsid w:val="00D20BA0"/>
    <w:rsid w:val="00D217C6"/>
    <w:rsid w:val="00D229B2"/>
    <w:rsid w:val="00D244ED"/>
    <w:rsid w:val="00D2517B"/>
    <w:rsid w:val="00D2640F"/>
    <w:rsid w:val="00D42460"/>
    <w:rsid w:val="00D43D85"/>
    <w:rsid w:val="00D925DB"/>
    <w:rsid w:val="00DD4A5C"/>
    <w:rsid w:val="00DE43D6"/>
    <w:rsid w:val="00E20266"/>
    <w:rsid w:val="00E234AF"/>
    <w:rsid w:val="00E362CD"/>
    <w:rsid w:val="00E4497E"/>
    <w:rsid w:val="00E47986"/>
    <w:rsid w:val="00E5608F"/>
    <w:rsid w:val="00E609E2"/>
    <w:rsid w:val="00E64190"/>
    <w:rsid w:val="00E705EA"/>
    <w:rsid w:val="00E814FB"/>
    <w:rsid w:val="00E8691B"/>
    <w:rsid w:val="00E95A03"/>
    <w:rsid w:val="00E96DD0"/>
    <w:rsid w:val="00EA71EB"/>
    <w:rsid w:val="00EA7DB8"/>
    <w:rsid w:val="00EA7EC5"/>
    <w:rsid w:val="00EB0848"/>
    <w:rsid w:val="00EE085F"/>
    <w:rsid w:val="00EF0DF7"/>
    <w:rsid w:val="00EF1BD1"/>
    <w:rsid w:val="00EF4072"/>
    <w:rsid w:val="00EF6A2C"/>
    <w:rsid w:val="00F2197A"/>
    <w:rsid w:val="00F25382"/>
    <w:rsid w:val="00F25A80"/>
    <w:rsid w:val="00F3380E"/>
    <w:rsid w:val="00F448BA"/>
    <w:rsid w:val="00F47710"/>
    <w:rsid w:val="00F61AC7"/>
    <w:rsid w:val="00F6577F"/>
    <w:rsid w:val="00F677B0"/>
    <w:rsid w:val="00F73B69"/>
    <w:rsid w:val="00F8796D"/>
    <w:rsid w:val="00FA0E67"/>
    <w:rsid w:val="00FA1F05"/>
    <w:rsid w:val="00FA463E"/>
    <w:rsid w:val="00FC21FB"/>
    <w:rsid w:val="00FC53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53B293"/>
  <w15:docId w15:val="{AD29F23E-5D14-4220-A2FE-F1B22D98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601"/>
    <w:pPr>
      <w:spacing w:after="160" w:line="360" w:lineRule="auto"/>
      <w:ind w:firstLine="709"/>
      <w:jc w:val="both"/>
    </w:pPr>
    <w:rPr>
      <w:rFonts w:ascii="Times New Roman" w:hAnsi="Times New Roman"/>
      <w:sz w:val="24"/>
      <w:lang w:eastAsia="en-US"/>
    </w:rPr>
  </w:style>
  <w:style w:type="paragraph" w:styleId="Ttulo1">
    <w:name w:val="heading 1"/>
    <w:basedOn w:val="Normal"/>
    <w:next w:val="Normal"/>
    <w:link w:val="Ttulo1Char"/>
    <w:qFormat/>
    <w:locked/>
    <w:rsid w:val="002831EF"/>
    <w:pPr>
      <w:keepNext/>
      <w:keepLines/>
      <w:spacing w:before="480" w:after="480" w:line="240" w:lineRule="auto"/>
      <w:jc w:val="center"/>
      <w:outlineLvl w:val="0"/>
    </w:pPr>
    <w:rPr>
      <w:rFonts w:eastAsiaTheme="majorEastAsia" w:cstheme="majorBidi"/>
      <w:b/>
      <w:bCs/>
      <w:szCs w:val="28"/>
    </w:rPr>
  </w:style>
  <w:style w:type="paragraph" w:styleId="Ttulo2">
    <w:name w:val="heading 2"/>
    <w:basedOn w:val="Normal"/>
    <w:next w:val="Normal"/>
    <w:link w:val="Ttulo2Char"/>
    <w:unhideWhenUsed/>
    <w:qFormat/>
    <w:locked/>
    <w:rsid w:val="0063106B"/>
    <w:pPr>
      <w:keepNext/>
      <w:keepLines/>
      <w:spacing w:before="200" w:after="0" w:line="240" w:lineRule="auto"/>
      <w:jc w:val="center"/>
      <w:outlineLvl w:val="1"/>
    </w:pPr>
    <w:rPr>
      <w:rFonts w:eastAsiaTheme="majorEastAsia" w:cstheme="maj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006EBE"/>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rsid w:val="000312D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312D6"/>
    <w:rPr>
      <w:rFonts w:cs="Times New Roman"/>
    </w:rPr>
  </w:style>
  <w:style w:type="paragraph" w:styleId="Rodap">
    <w:name w:val="footer"/>
    <w:basedOn w:val="Normal"/>
    <w:link w:val="RodapChar"/>
    <w:uiPriority w:val="99"/>
    <w:rsid w:val="000312D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312D6"/>
    <w:rPr>
      <w:rFonts w:cs="Times New Roman"/>
    </w:rPr>
  </w:style>
  <w:style w:type="table" w:styleId="Tabelacomgrade">
    <w:name w:val="Table Grid"/>
    <w:basedOn w:val="Tabelanormal"/>
    <w:uiPriority w:val="39"/>
    <w:locked/>
    <w:rsid w:val="002708E7"/>
    <w:pPr>
      <w:spacing w:after="160" w:line="259"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2831EF"/>
    <w:rPr>
      <w:rFonts w:ascii="Times New Roman" w:eastAsiaTheme="majorEastAsia" w:hAnsi="Times New Roman" w:cstheme="majorBidi"/>
      <w:b/>
      <w:bCs/>
      <w:sz w:val="24"/>
      <w:szCs w:val="28"/>
      <w:lang w:eastAsia="en-US"/>
    </w:rPr>
  </w:style>
  <w:style w:type="character" w:customStyle="1" w:styleId="Ttulo2Char">
    <w:name w:val="Título 2 Char"/>
    <w:basedOn w:val="Fontepargpadro"/>
    <w:link w:val="Ttulo2"/>
    <w:rsid w:val="0063106B"/>
    <w:rPr>
      <w:rFonts w:ascii="Times New Roman" w:eastAsiaTheme="majorEastAsia" w:hAnsi="Times New Roman" w:cstheme="majorBidi"/>
      <w:b/>
      <w:bCs/>
      <w:sz w:val="24"/>
      <w:szCs w:val="26"/>
      <w:lang w:eastAsia="en-US"/>
    </w:rPr>
  </w:style>
  <w:style w:type="paragraph" w:styleId="NormalWeb">
    <w:name w:val="Normal (Web)"/>
    <w:basedOn w:val="Normal"/>
    <w:uiPriority w:val="99"/>
    <w:rsid w:val="00C2564B"/>
    <w:pPr>
      <w:spacing w:before="100" w:beforeAutospacing="1" w:after="100" w:afterAutospacing="1" w:line="240" w:lineRule="auto"/>
      <w:jc w:val="left"/>
    </w:pPr>
    <w:rPr>
      <w:rFonts w:eastAsia="Times New Roman"/>
      <w:szCs w:val="24"/>
      <w:lang w:eastAsia="pt-BR"/>
    </w:rPr>
  </w:style>
  <w:style w:type="paragraph" w:styleId="PargrafodaLista">
    <w:name w:val="List Paragraph"/>
    <w:basedOn w:val="Normal"/>
    <w:uiPriority w:val="34"/>
    <w:qFormat/>
    <w:rsid w:val="006870F7"/>
    <w:pPr>
      <w:ind w:left="720"/>
      <w:contextualSpacing/>
    </w:pPr>
  </w:style>
  <w:style w:type="paragraph" w:styleId="Textodebalo">
    <w:name w:val="Balloon Text"/>
    <w:basedOn w:val="Normal"/>
    <w:link w:val="TextodebaloChar"/>
    <w:uiPriority w:val="99"/>
    <w:semiHidden/>
    <w:unhideWhenUsed/>
    <w:rsid w:val="000832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3255"/>
    <w:rPr>
      <w:rFonts w:ascii="Tahoma" w:hAnsi="Tahoma" w:cs="Tahoma"/>
      <w:sz w:val="16"/>
      <w:szCs w:val="16"/>
      <w:lang w:eastAsia="en-US"/>
    </w:rPr>
  </w:style>
  <w:style w:type="paragraph" w:styleId="Ttulo">
    <w:name w:val="Title"/>
    <w:basedOn w:val="Normal"/>
    <w:link w:val="TtuloChar"/>
    <w:qFormat/>
    <w:locked/>
    <w:rsid w:val="005C382A"/>
    <w:pPr>
      <w:spacing w:after="0" w:line="240" w:lineRule="auto"/>
      <w:ind w:firstLine="0"/>
      <w:jc w:val="center"/>
    </w:pPr>
    <w:rPr>
      <w:rFonts w:ascii="Arial" w:hAnsi="Arial" w:cs="Arial"/>
      <w:b/>
      <w:bCs/>
      <w:szCs w:val="24"/>
      <w:u w:val="single"/>
      <w:lang w:eastAsia="pt-BR"/>
    </w:rPr>
  </w:style>
  <w:style w:type="character" w:customStyle="1" w:styleId="TtuloChar">
    <w:name w:val="Título Char"/>
    <w:basedOn w:val="Fontepargpadro"/>
    <w:link w:val="Ttulo"/>
    <w:rsid w:val="005C382A"/>
    <w:rPr>
      <w:rFonts w:ascii="Arial" w:hAnsi="Arial" w:cs="Arial"/>
      <w:b/>
      <w:bCs/>
      <w:sz w:val="24"/>
      <w:szCs w:val="24"/>
      <w:u w:val="single"/>
    </w:rPr>
  </w:style>
  <w:style w:type="table" w:styleId="TabelaSimples2">
    <w:name w:val="Plain Table 2"/>
    <w:basedOn w:val="Tabelanormal"/>
    <w:uiPriority w:val="42"/>
    <w:rsid w:val="005C382A"/>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doSumrio">
    <w:name w:val="TOC Heading"/>
    <w:basedOn w:val="Ttulo1"/>
    <w:next w:val="Normal"/>
    <w:uiPriority w:val="39"/>
    <w:unhideWhenUsed/>
    <w:qFormat/>
    <w:rsid w:val="00CE06A2"/>
    <w:pPr>
      <w:spacing w:before="240" w:after="0" w:line="259" w:lineRule="auto"/>
      <w:ind w:firstLine="0"/>
      <w:jc w:val="left"/>
      <w:outlineLvl w:val="9"/>
    </w:pPr>
    <w:rPr>
      <w:rFonts w:asciiTheme="majorHAnsi" w:hAnsiTheme="majorHAnsi"/>
      <w:b w:val="0"/>
      <w:bCs w:val="0"/>
      <w:color w:val="365F91" w:themeColor="accent1" w:themeShade="BF"/>
      <w:sz w:val="32"/>
      <w:szCs w:val="32"/>
      <w:lang w:eastAsia="pt-BR"/>
    </w:rPr>
  </w:style>
  <w:style w:type="paragraph" w:styleId="Sumrio1">
    <w:name w:val="toc 1"/>
    <w:basedOn w:val="Normal"/>
    <w:next w:val="Normal"/>
    <w:autoRedefine/>
    <w:uiPriority w:val="39"/>
    <w:locked/>
    <w:rsid w:val="00CE06A2"/>
    <w:pPr>
      <w:spacing w:after="100"/>
    </w:pPr>
  </w:style>
  <w:style w:type="character" w:styleId="Hyperlink">
    <w:name w:val="Hyperlink"/>
    <w:basedOn w:val="Fontepargpadro"/>
    <w:uiPriority w:val="99"/>
    <w:unhideWhenUsed/>
    <w:rsid w:val="00CE06A2"/>
    <w:rPr>
      <w:color w:val="0000FF" w:themeColor="hyperlink"/>
      <w:u w:val="single"/>
    </w:rPr>
  </w:style>
  <w:style w:type="paragraph" w:styleId="Sumrio2">
    <w:name w:val="toc 2"/>
    <w:basedOn w:val="Normal"/>
    <w:next w:val="Normal"/>
    <w:autoRedefine/>
    <w:uiPriority w:val="39"/>
    <w:unhideWhenUsed/>
    <w:locked/>
    <w:rsid w:val="00CE06A2"/>
    <w:pPr>
      <w:spacing w:after="100" w:line="259" w:lineRule="auto"/>
      <w:ind w:left="220" w:firstLine="0"/>
      <w:jc w:val="left"/>
    </w:pPr>
    <w:rPr>
      <w:rFonts w:asciiTheme="minorHAnsi" w:eastAsiaTheme="minorEastAsia" w:hAnsiTheme="minorHAnsi"/>
      <w:sz w:val="22"/>
      <w:lang w:eastAsia="pt-BR"/>
    </w:rPr>
  </w:style>
  <w:style w:type="paragraph" w:styleId="Sumrio3">
    <w:name w:val="toc 3"/>
    <w:basedOn w:val="Normal"/>
    <w:next w:val="Normal"/>
    <w:autoRedefine/>
    <w:uiPriority w:val="39"/>
    <w:unhideWhenUsed/>
    <w:locked/>
    <w:rsid w:val="00CE06A2"/>
    <w:pPr>
      <w:spacing w:after="100" w:line="259" w:lineRule="auto"/>
      <w:ind w:left="440" w:firstLine="0"/>
      <w:jc w:val="left"/>
    </w:pPr>
    <w:rPr>
      <w:rFonts w:asciiTheme="minorHAnsi" w:eastAsiaTheme="minorEastAsia" w:hAnsiTheme="minorHAnsi"/>
      <w:sz w:val="22"/>
      <w:lang w:eastAsia="pt-BR"/>
    </w:rPr>
  </w:style>
  <w:style w:type="paragraph" w:styleId="Pr-formataoHTML">
    <w:name w:val="HTML Preformatted"/>
    <w:basedOn w:val="Normal"/>
    <w:link w:val="Pr-formataoHTMLChar"/>
    <w:uiPriority w:val="99"/>
    <w:semiHidden/>
    <w:unhideWhenUsed/>
    <w:rsid w:val="00F21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2197A"/>
    <w:rPr>
      <w:rFonts w:ascii="Courier New" w:eastAsia="Times New Roman" w:hAnsi="Courier New" w:cs="Courier New"/>
      <w:sz w:val="20"/>
      <w:szCs w:val="20"/>
    </w:rPr>
  </w:style>
  <w:style w:type="character" w:styleId="Refdecomentrio">
    <w:name w:val="annotation reference"/>
    <w:basedOn w:val="Fontepargpadro"/>
    <w:uiPriority w:val="99"/>
    <w:semiHidden/>
    <w:unhideWhenUsed/>
    <w:qFormat/>
    <w:rsid w:val="00EE085F"/>
    <w:rPr>
      <w:sz w:val="18"/>
      <w:szCs w:val="18"/>
    </w:rPr>
  </w:style>
  <w:style w:type="character" w:customStyle="1" w:styleId="TextodecomentrioChar">
    <w:name w:val="Texto de comentário Char"/>
    <w:basedOn w:val="Fontepargpadro"/>
    <w:link w:val="Textodecomentrio"/>
    <w:uiPriority w:val="99"/>
    <w:semiHidden/>
    <w:qFormat/>
    <w:rsid w:val="00EE085F"/>
    <w:rPr>
      <w:sz w:val="24"/>
      <w:szCs w:val="24"/>
    </w:rPr>
  </w:style>
  <w:style w:type="paragraph" w:styleId="Textodecomentrio">
    <w:name w:val="annotation text"/>
    <w:basedOn w:val="Normal"/>
    <w:link w:val="TextodecomentrioChar"/>
    <w:uiPriority w:val="99"/>
    <w:semiHidden/>
    <w:unhideWhenUsed/>
    <w:qFormat/>
    <w:rsid w:val="00EE085F"/>
    <w:pPr>
      <w:spacing w:after="200" w:line="240" w:lineRule="auto"/>
      <w:ind w:firstLine="0"/>
      <w:jc w:val="left"/>
    </w:pPr>
    <w:rPr>
      <w:rFonts w:ascii="Calibri" w:hAnsi="Calibri"/>
      <w:szCs w:val="24"/>
      <w:lang w:eastAsia="pt-BR"/>
    </w:rPr>
  </w:style>
  <w:style w:type="character" w:customStyle="1" w:styleId="TextodecomentrioChar1">
    <w:name w:val="Texto de comentário Char1"/>
    <w:basedOn w:val="Fontepargpadro"/>
    <w:uiPriority w:val="99"/>
    <w:semiHidden/>
    <w:rsid w:val="00EE085F"/>
    <w:rPr>
      <w:rFonts w:ascii="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9025">
      <w:bodyDiv w:val="1"/>
      <w:marLeft w:val="0"/>
      <w:marRight w:val="0"/>
      <w:marTop w:val="0"/>
      <w:marBottom w:val="0"/>
      <w:divBdr>
        <w:top w:val="none" w:sz="0" w:space="0" w:color="auto"/>
        <w:left w:val="none" w:sz="0" w:space="0" w:color="auto"/>
        <w:bottom w:val="none" w:sz="0" w:space="0" w:color="auto"/>
        <w:right w:val="none" w:sz="0" w:space="0" w:color="auto"/>
      </w:divBdr>
    </w:div>
    <w:div w:id="359404060">
      <w:bodyDiv w:val="1"/>
      <w:marLeft w:val="0"/>
      <w:marRight w:val="0"/>
      <w:marTop w:val="0"/>
      <w:marBottom w:val="0"/>
      <w:divBdr>
        <w:top w:val="none" w:sz="0" w:space="0" w:color="auto"/>
        <w:left w:val="none" w:sz="0" w:space="0" w:color="auto"/>
        <w:bottom w:val="none" w:sz="0" w:space="0" w:color="auto"/>
        <w:right w:val="none" w:sz="0" w:space="0" w:color="auto"/>
      </w:divBdr>
    </w:div>
    <w:div w:id="436869230">
      <w:bodyDiv w:val="1"/>
      <w:marLeft w:val="0"/>
      <w:marRight w:val="0"/>
      <w:marTop w:val="0"/>
      <w:marBottom w:val="0"/>
      <w:divBdr>
        <w:top w:val="none" w:sz="0" w:space="0" w:color="auto"/>
        <w:left w:val="none" w:sz="0" w:space="0" w:color="auto"/>
        <w:bottom w:val="none" w:sz="0" w:space="0" w:color="auto"/>
        <w:right w:val="none" w:sz="0" w:space="0" w:color="auto"/>
      </w:divBdr>
    </w:div>
    <w:div w:id="966817721">
      <w:bodyDiv w:val="1"/>
      <w:marLeft w:val="0"/>
      <w:marRight w:val="0"/>
      <w:marTop w:val="0"/>
      <w:marBottom w:val="0"/>
      <w:divBdr>
        <w:top w:val="none" w:sz="0" w:space="0" w:color="auto"/>
        <w:left w:val="none" w:sz="0" w:space="0" w:color="auto"/>
        <w:bottom w:val="none" w:sz="0" w:space="0" w:color="auto"/>
        <w:right w:val="none" w:sz="0" w:space="0" w:color="auto"/>
      </w:divBdr>
    </w:div>
    <w:div w:id="1014383362">
      <w:bodyDiv w:val="1"/>
      <w:marLeft w:val="0"/>
      <w:marRight w:val="0"/>
      <w:marTop w:val="0"/>
      <w:marBottom w:val="0"/>
      <w:divBdr>
        <w:top w:val="none" w:sz="0" w:space="0" w:color="auto"/>
        <w:left w:val="none" w:sz="0" w:space="0" w:color="auto"/>
        <w:bottom w:val="none" w:sz="0" w:space="0" w:color="auto"/>
        <w:right w:val="none" w:sz="0" w:space="0" w:color="auto"/>
      </w:divBdr>
      <w:divsChild>
        <w:div w:id="1273127194">
          <w:marLeft w:val="547"/>
          <w:marRight w:val="0"/>
          <w:marTop w:val="0"/>
          <w:marBottom w:val="0"/>
          <w:divBdr>
            <w:top w:val="none" w:sz="0" w:space="0" w:color="auto"/>
            <w:left w:val="none" w:sz="0" w:space="0" w:color="auto"/>
            <w:bottom w:val="none" w:sz="0" w:space="0" w:color="auto"/>
            <w:right w:val="none" w:sz="0" w:space="0" w:color="auto"/>
          </w:divBdr>
        </w:div>
      </w:divsChild>
    </w:div>
    <w:div w:id="1290284423">
      <w:bodyDiv w:val="1"/>
      <w:marLeft w:val="0"/>
      <w:marRight w:val="0"/>
      <w:marTop w:val="0"/>
      <w:marBottom w:val="0"/>
      <w:divBdr>
        <w:top w:val="none" w:sz="0" w:space="0" w:color="auto"/>
        <w:left w:val="none" w:sz="0" w:space="0" w:color="auto"/>
        <w:bottom w:val="none" w:sz="0" w:space="0" w:color="auto"/>
        <w:right w:val="none" w:sz="0" w:space="0" w:color="auto"/>
      </w:divBdr>
    </w:div>
    <w:div w:id="1314992350">
      <w:bodyDiv w:val="1"/>
      <w:marLeft w:val="0"/>
      <w:marRight w:val="0"/>
      <w:marTop w:val="0"/>
      <w:marBottom w:val="0"/>
      <w:divBdr>
        <w:top w:val="none" w:sz="0" w:space="0" w:color="auto"/>
        <w:left w:val="none" w:sz="0" w:space="0" w:color="auto"/>
        <w:bottom w:val="none" w:sz="0" w:space="0" w:color="auto"/>
        <w:right w:val="none" w:sz="0" w:space="0" w:color="auto"/>
      </w:divBdr>
    </w:div>
    <w:div w:id="1702778069">
      <w:bodyDiv w:val="1"/>
      <w:marLeft w:val="0"/>
      <w:marRight w:val="0"/>
      <w:marTop w:val="0"/>
      <w:marBottom w:val="0"/>
      <w:divBdr>
        <w:top w:val="none" w:sz="0" w:space="0" w:color="auto"/>
        <w:left w:val="none" w:sz="0" w:space="0" w:color="auto"/>
        <w:bottom w:val="none" w:sz="0" w:space="0" w:color="auto"/>
        <w:right w:val="none" w:sz="0" w:space="0" w:color="auto"/>
      </w:divBdr>
    </w:div>
    <w:div w:id="214545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m&#237;lia%20Sousa%20Silva\Downloads\TABULA&#199;&#195;O%20TC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m&#237;lia%20Sousa%20Silva\Downloads\TABULA&#199;&#195;O%20TC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m&#237;lia%20Sousa%20Silva\Downloads\TABULA&#199;&#195;O%20TC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Planilha2!$B$78</c:f>
              <c:strCache>
                <c:ptCount val="1"/>
                <c:pt idx="0">
                  <c:v>HOMENS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Planilha2!$A$79:$A$80</c:f>
              <c:strCache>
                <c:ptCount val="2"/>
                <c:pt idx="0">
                  <c:v>SIM</c:v>
                </c:pt>
                <c:pt idx="1">
                  <c:v>NÃO</c:v>
                </c:pt>
              </c:strCache>
            </c:strRef>
          </c:cat>
          <c:val>
            <c:numRef>
              <c:f>Planilha2!$B$79:$B$80</c:f>
              <c:numCache>
                <c:formatCode>0.00%</c:formatCode>
                <c:ptCount val="2"/>
                <c:pt idx="0">
                  <c:v>0.23499999999999999</c:v>
                </c:pt>
                <c:pt idx="1">
                  <c:v>0.58799999999999997</c:v>
                </c:pt>
              </c:numCache>
            </c:numRef>
          </c:val>
          <c:extLst>
            <c:ext xmlns:c16="http://schemas.microsoft.com/office/drawing/2014/chart" uri="{C3380CC4-5D6E-409C-BE32-E72D297353CC}">
              <c16:uniqueId val="{00000000-EA4D-4AC0-9481-0EEDB0032890}"/>
            </c:ext>
          </c:extLst>
        </c:ser>
        <c:ser>
          <c:idx val="1"/>
          <c:order val="1"/>
          <c:tx>
            <c:strRef>
              <c:f>Planilha2!$C$78</c:f>
              <c:strCache>
                <c:ptCount val="1"/>
                <c:pt idx="0">
                  <c:v>MULHERES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Planilha2!$A$79:$A$80</c:f>
              <c:strCache>
                <c:ptCount val="2"/>
                <c:pt idx="0">
                  <c:v>SIM</c:v>
                </c:pt>
                <c:pt idx="1">
                  <c:v>NÃO</c:v>
                </c:pt>
              </c:strCache>
            </c:strRef>
          </c:cat>
          <c:val>
            <c:numRef>
              <c:f>Planilha2!$C$79:$C$80</c:f>
              <c:numCache>
                <c:formatCode>0.00%</c:formatCode>
                <c:ptCount val="2"/>
                <c:pt idx="0">
                  <c:v>0.76500000000000001</c:v>
                </c:pt>
                <c:pt idx="1">
                  <c:v>0.41199999999999998</c:v>
                </c:pt>
              </c:numCache>
            </c:numRef>
          </c:val>
          <c:extLst>
            <c:ext xmlns:c16="http://schemas.microsoft.com/office/drawing/2014/chart" uri="{C3380CC4-5D6E-409C-BE32-E72D297353CC}">
              <c16:uniqueId val="{00000001-EA4D-4AC0-9481-0EEDB0032890}"/>
            </c:ext>
          </c:extLst>
        </c:ser>
        <c:dLbls>
          <c:dLblPos val="inEnd"/>
          <c:showLegendKey val="0"/>
          <c:showVal val="1"/>
          <c:showCatName val="0"/>
          <c:showSerName val="0"/>
          <c:showPercent val="0"/>
          <c:showBubbleSize val="0"/>
        </c:dLbls>
        <c:gapWidth val="219"/>
        <c:overlap val="-27"/>
        <c:axId val="-850145184"/>
        <c:axId val="-850149536"/>
      </c:barChart>
      <c:catAx>
        <c:axId val="-85014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850149536"/>
        <c:crosses val="autoZero"/>
        <c:auto val="1"/>
        <c:lblAlgn val="ctr"/>
        <c:lblOffset val="100"/>
        <c:noMultiLvlLbl val="0"/>
      </c:catAx>
      <c:valAx>
        <c:axId val="-850149536"/>
        <c:scaling>
          <c:orientation val="minMax"/>
        </c:scaling>
        <c:delete val="1"/>
        <c:axPos val="l"/>
        <c:numFmt formatCode="0.00%" sourceLinked="1"/>
        <c:majorTickMark val="none"/>
        <c:minorTickMark val="none"/>
        <c:tickLblPos val="nextTo"/>
        <c:crossAx val="-85014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Planilha4!$A$2</c:f>
              <c:strCache>
                <c:ptCount val="1"/>
                <c:pt idx="0">
                  <c:v>SIM</c:v>
                </c:pt>
              </c:strCache>
            </c:strRef>
          </c:tx>
          <c:spPr>
            <a:solidFill>
              <a:schemeClr val="accent1"/>
            </a:solidFill>
            <a:ln>
              <a:noFill/>
            </a:ln>
            <a:effectLst/>
          </c:spPr>
          <c:invertIfNegative val="0"/>
          <c:dLbls>
            <c:dLbl>
              <c:idx val="2"/>
              <c:tx>
                <c:rich>
                  <a:bodyPr/>
                  <a:lstStyle/>
                  <a:p>
                    <a:r>
                      <a:rPr lang="en-US"/>
                      <a:t>50,</a:t>
                    </a:r>
                    <a:r>
                      <a:rPr lang="en-US" baseline="0"/>
                      <a:t>00%</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C5-4C85-AD78-5A80E377937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Planilha4!$B$1:$D$1</c:f>
              <c:strCache>
                <c:ptCount val="3"/>
                <c:pt idx="0">
                  <c:v>NCEP-ATPIII</c:v>
                </c:pt>
                <c:pt idx="1">
                  <c:v>IDF</c:v>
                </c:pt>
                <c:pt idx="2">
                  <c:v>JIS</c:v>
                </c:pt>
              </c:strCache>
            </c:strRef>
          </c:cat>
          <c:val>
            <c:numRef>
              <c:f>Planilha4!$B$2:$D$2</c:f>
              <c:numCache>
                <c:formatCode>0.00%</c:formatCode>
                <c:ptCount val="3"/>
                <c:pt idx="0">
                  <c:v>0.47220000000000001</c:v>
                </c:pt>
                <c:pt idx="1">
                  <c:v>0.47220000000000001</c:v>
                </c:pt>
                <c:pt idx="2" formatCode="0%">
                  <c:v>0.5</c:v>
                </c:pt>
              </c:numCache>
            </c:numRef>
          </c:val>
          <c:extLst>
            <c:ext xmlns:c16="http://schemas.microsoft.com/office/drawing/2014/chart" uri="{C3380CC4-5D6E-409C-BE32-E72D297353CC}">
              <c16:uniqueId val="{00000001-EEC5-4C85-AD78-5A80E3779378}"/>
            </c:ext>
          </c:extLst>
        </c:ser>
        <c:ser>
          <c:idx val="1"/>
          <c:order val="1"/>
          <c:tx>
            <c:strRef>
              <c:f>Planilha4!$A$3</c:f>
              <c:strCache>
                <c:ptCount val="1"/>
                <c:pt idx="0">
                  <c:v>NÃO</c:v>
                </c:pt>
              </c:strCache>
            </c:strRef>
          </c:tx>
          <c:spPr>
            <a:solidFill>
              <a:schemeClr val="accent3"/>
            </a:solidFill>
            <a:ln>
              <a:noFill/>
            </a:ln>
            <a:effectLst/>
          </c:spPr>
          <c:invertIfNegative val="0"/>
          <c:dLbls>
            <c:dLbl>
              <c:idx val="2"/>
              <c:tx>
                <c:rich>
                  <a:bodyPr/>
                  <a:lstStyle/>
                  <a:p>
                    <a:r>
                      <a:rPr lang="en-US"/>
                      <a:t>50,00%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C5-4C85-AD78-5A80E377937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Planilha4!$B$1:$D$1</c:f>
              <c:strCache>
                <c:ptCount val="3"/>
                <c:pt idx="0">
                  <c:v>NCEP-ATPIII</c:v>
                </c:pt>
                <c:pt idx="1">
                  <c:v>IDF</c:v>
                </c:pt>
                <c:pt idx="2">
                  <c:v>JIS</c:v>
                </c:pt>
              </c:strCache>
            </c:strRef>
          </c:cat>
          <c:val>
            <c:numRef>
              <c:f>Planilha4!$B$3:$D$3</c:f>
              <c:numCache>
                <c:formatCode>0.00%</c:formatCode>
                <c:ptCount val="3"/>
                <c:pt idx="0">
                  <c:v>0.52780000000000005</c:v>
                </c:pt>
                <c:pt idx="1">
                  <c:v>0.52780000000000005</c:v>
                </c:pt>
                <c:pt idx="2" formatCode="0%">
                  <c:v>0.5</c:v>
                </c:pt>
              </c:numCache>
            </c:numRef>
          </c:val>
          <c:extLst>
            <c:ext xmlns:c16="http://schemas.microsoft.com/office/drawing/2014/chart" uri="{C3380CC4-5D6E-409C-BE32-E72D297353CC}">
              <c16:uniqueId val="{00000003-EEC5-4C85-AD78-5A80E3779378}"/>
            </c:ext>
          </c:extLst>
        </c:ser>
        <c:dLbls>
          <c:dLblPos val="inEnd"/>
          <c:showLegendKey val="0"/>
          <c:showVal val="1"/>
          <c:showCatName val="0"/>
          <c:showSerName val="0"/>
          <c:showPercent val="0"/>
          <c:showBubbleSize val="0"/>
        </c:dLbls>
        <c:gapWidth val="219"/>
        <c:overlap val="-27"/>
        <c:axId val="-850141920"/>
        <c:axId val="-850145728"/>
      </c:barChart>
      <c:catAx>
        <c:axId val="-85014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850145728"/>
        <c:crosses val="autoZero"/>
        <c:auto val="1"/>
        <c:lblAlgn val="ctr"/>
        <c:lblOffset val="100"/>
        <c:noMultiLvlLbl val="0"/>
      </c:catAx>
      <c:valAx>
        <c:axId val="-850145728"/>
        <c:scaling>
          <c:orientation val="minMax"/>
          <c:min val="0"/>
        </c:scaling>
        <c:delete val="1"/>
        <c:axPos val="l"/>
        <c:majorGridlines>
          <c:spPr>
            <a:ln w="9525" cap="flat" cmpd="sng" algn="ctr">
              <a:noFill/>
              <a:round/>
            </a:ln>
            <a:effectLst/>
          </c:spPr>
        </c:majorGridlines>
        <c:numFmt formatCode="0.00%" sourceLinked="1"/>
        <c:majorTickMark val="none"/>
        <c:minorTickMark val="none"/>
        <c:tickLblPos val="nextTo"/>
        <c:crossAx val="-85014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Planilha5!$B$17:$B$18</c:f>
              <c:strCache>
                <c:ptCount val="2"/>
                <c:pt idx="1">
                  <c:v>60 - 69 ANOS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8.76585928489041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DF-4A19-A39D-7447380F98AE}"/>
                </c:ext>
              </c:extLst>
            </c:dLbl>
            <c:dLbl>
              <c:idx val="1"/>
              <c:layout>
                <c:manualLayout>
                  <c:x val="2.4691358024690451E-3"/>
                  <c:y val="8.76585928489041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DF-4A19-A39D-7447380F98AE}"/>
                </c:ext>
              </c:extLst>
            </c:dLbl>
            <c:dLbl>
              <c:idx val="2"/>
              <c:layout>
                <c:manualLayout>
                  <c:x val="-9.0533933568142166E-17"/>
                  <c:y val="7.84313725490196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DF-4A19-A39D-7447380F98A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Planilha5!$A$19:$A$21</c:f>
              <c:strCache>
                <c:ptCount val="3"/>
                <c:pt idx="0">
                  <c:v>NCEP-ATPIII</c:v>
                </c:pt>
                <c:pt idx="1">
                  <c:v>IDF</c:v>
                </c:pt>
                <c:pt idx="2">
                  <c:v>JIS</c:v>
                </c:pt>
              </c:strCache>
            </c:strRef>
          </c:cat>
          <c:val>
            <c:numRef>
              <c:f>Planilha5!$B$19:$B$21</c:f>
              <c:numCache>
                <c:formatCode>0.00%</c:formatCode>
                <c:ptCount val="3"/>
                <c:pt idx="0">
                  <c:v>0.23530000000000001</c:v>
                </c:pt>
                <c:pt idx="1">
                  <c:v>0.17649999999999999</c:v>
                </c:pt>
                <c:pt idx="2">
                  <c:v>0.22220000000000001</c:v>
                </c:pt>
              </c:numCache>
            </c:numRef>
          </c:val>
          <c:extLst>
            <c:ext xmlns:c16="http://schemas.microsoft.com/office/drawing/2014/chart" uri="{C3380CC4-5D6E-409C-BE32-E72D297353CC}">
              <c16:uniqueId val="{00000003-89DF-4A19-A39D-7447380F98AE}"/>
            </c:ext>
          </c:extLst>
        </c:ser>
        <c:ser>
          <c:idx val="1"/>
          <c:order val="1"/>
          <c:tx>
            <c:strRef>
              <c:f>Planilha5!$C$17:$C$18</c:f>
              <c:strCache>
                <c:ptCount val="2"/>
                <c:pt idx="1">
                  <c:v>70 - 79 ANOS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0"/>
                  <c:y val="0.1245674740484428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DF-4A19-A39D-7447380F98AE}"/>
                </c:ext>
              </c:extLst>
            </c:dLbl>
            <c:dLbl>
              <c:idx val="1"/>
              <c:layout>
                <c:manualLayout>
                  <c:x val="0"/>
                  <c:y val="9.68858131487889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DF-4A19-A39D-7447380F98AE}"/>
                </c:ext>
              </c:extLst>
            </c:dLbl>
            <c:dLbl>
              <c:idx val="2"/>
              <c:layout>
                <c:manualLayout>
                  <c:x val="0"/>
                  <c:y val="8.76585928489042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DF-4A19-A39D-7447380F98A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Planilha5!$A$19:$A$21</c:f>
              <c:strCache>
                <c:ptCount val="3"/>
                <c:pt idx="0">
                  <c:v>NCEP-ATPIII</c:v>
                </c:pt>
                <c:pt idx="1">
                  <c:v>IDF</c:v>
                </c:pt>
                <c:pt idx="2">
                  <c:v>JIS</c:v>
                </c:pt>
              </c:strCache>
            </c:strRef>
          </c:cat>
          <c:val>
            <c:numRef>
              <c:f>Planilha5!$C$19:$C$21</c:f>
              <c:numCache>
                <c:formatCode>0.00%</c:formatCode>
                <c:ptCount val="3"/>
                <c:pt idx="0">
                  <c:v>0.70589999999999997</c:v>
                </c:pt>
                <c:pt idx="1">
                  <c:v>0.70589999999999997</c:v>
                </c:pt>
                <c:pt idx="2">
                  <c:v>0.66669999999999996</c:v>
                </c:pt>
              </c:numCache>
            </c:numRef>
          </c:val>
          <c:extLst>
            <c:ext xmlns:c16="http://schemas.microsoft.com/office/drawing/2014/chart" uri="{C3380CC4-5D6E-409C-BE32-E72D297353CC}">
              <c16:uniqueId val="{00000007-89DF-4A19-A39D-7447380F98AE}"/>
            </c:ext>
          </c:extLst>
        </c:ser>
        <c:ser>
          <c:idx val="2"/>
          <c:order val="2"/>
          <c:tx>
            <c:strRef>
              <c:f>Planilha5!$D$17:$D$18</c:f>
              <c:strCache>
                <c:ptCount val="2"/>
                <c:pt idx="1">
                  <c:v>80 ANOS OU MAIS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Planilha5!$A$19:$A$21</c:f>
              <c:strCache>
                <c:ptCount val="3"/>
                <c:pt idx="0">
                  <c:v>NCEP-ATPIII</c:v>
                </c:pt>
                <c:pt idx="1">
                  <c:v>IDF</c:v>
                </c:pt>
                <c:pt idx="2">
                  <c:v>JIS</c:v>
                </c:pt>
              </c:strCache>
            </c:strRef>
          </c:cat>
          <c:val>
            <c:numRef>
              <c:f>Planilha5!$D$19:$D$21</c:f>
              <c:numCache>
                <c:formatCode>0.00%</c:formatCode>
                <c:ptCount val="3"/>
                <c:pt idx="0">
                  <c:v>5.8799999999999998E-2</c:v>
                </c:pt>
                <c:pt idx="1">
                  <c:v>0.1176</c:v>
                </c:pt>
                <c:pt idx="2">
                  <c:v>0.1111</c:v>
                </c:pt>
              </c:numCache>
            </c:numRef>
          </c:val>
          <c:extLst>
            <c:ext xmlns:c16="http://schemas.microsoft.com/office/drawing/2014/chart" uri="{C3380CC4-5D6E-409C-BE32-E72D297353CC}">
              <c16:uniqueId val="{00000008-89DF-4A19-A39D-7447380F98AE}"/>
            </c:ext>
          </c:extLst>
        </c:ser>
        <c:dLbls>
          <c:dLblPos val="outEnd"/>
          <c:showLegendKey val="0"/>
          <c:showVal val="1"/>
          <c:showCatName val="0"/>
          <c:showSerName val="0"/>
          <c:showPercent val="0"/>
          <c:showBubbleSize val="0"/>
        </c:dLbls>
        <c:gapWidth val="100"/>
        <c:overlap val="-24"/>
        <c:axId val="-850127232"/>
        <c:axId val="-850125600"/>
      </c:barChart>
      <c:catAx>
        <c:axId val="-850127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850125600"/>
        <c:crosses val="autoZero"/>
        <c:auto val="1"/>
        <c:lblAlgn val="ctr"/>
        <c:lblOffset val="100"/>
        <c:noMultiLvlLbl val="0"/>
      </c:catAx>
      <c:valAx>
        <c:axId val="-850125600"/>
        <c:scaling>
          <c:orientation val="minMax"/>
        </c:scaling>
        <c:delete val="1"/>
        <c:axPos val="l"/>
        <c:majorGridlines>
          <c:spPr>
            <a:ln w="9525" cap="flat" cmpd="sng" algn="ctr">
              <a:noFill/>
              <a:round/>
            </a:ln>
            <a:effectLst/>
          </c:spPr>
        </c:majorGridlines>
        <c:numFmt formatCode="0.00%" sourceLinked="1"/>
        <c:majorTickMark val="none"/>
        <c:minorTickMark val="none"/>
        <c:tickLblPos val="nextTo"/>
        <c:crossAx val="-85012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4A24-A8A3-4395-9B95-1DBFEDEC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4936</Words>
  <Characters>26656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TERMO DE COMPROMISSO DE ORIENTAÇÃO DE TCR</vt:lpstr>
    </vt:vector>
  </TitlesOfParts>
  <Company>SEFAZ-MS</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COMPROMISSO DE ORIENTAÇÃO DE TCR</dc:title>
  <dc:creator>Estela</dc:creator>
  <cp:lastModifiedBy>Família Sousa Silva</cp:lastModifiedBy>
  <cp:revision>2</cp:revision>
  <cp:lastPrinted>2018-12-10T12:11:00Z</cp:lastPrinted>
  <dcterms:created xsi:type="dcterms:W3CDTF">2019-01-10T12:14:00Z</dcterms:created>
  <dcterms:modified xsi:type="dcterms:W3CDTF">2019-01-10T12:14:00Z</dcterms:modified>
</cp:coreProperties>
</file>