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F5" w:rsidRDefault="002766F5" w:rsidP="00E277D4">
      <w:pPr>
        <w:spacing w:after="0" w:line="360" w:lineRule="auto"/>
      </w:pPr>
    </w:p>
    <w:p w:rsidR="00E277D4" w:rsidRPr="00BF6E05" w:rsidRDefault="00E277D4" w:rsidP="00E277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6E05">
        <w:rPr>
          <w:rFonts w:ascii="Times New Roman" w:hAnsi="Times New Roman" w:cs="Times New Roman"/>
          <w:sz w:val="20"/>
          <w:szCs w:val="20"/>
        </w:rPr>
        <w:t>Figura 1 - Patrimônio territorial e seus componentes</w:t>
      </w:r>
    </w:p>
    <w:p w:rsidR="00E277D4" w:rsidRDefault="00E277D4" w:rsidP="00E277D4">
      <w:pPr>
        <w:spacing w:after="0" w:line="360" w:lineRule="auto"/>
      </w:pPr>
      <w:r w:rsidRPr="00E277D4">
        <w:rPr>
          <w:noProof/>
          <w:lang w:eastAsia="pt-BR"/>
        </w:rPr>
        <w:drawing>
          <wp:inline distT="0" distB="0" distL="0" distR="0">
            <wp:extent cx="5400040" cy="2758178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58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7D4" w:rsidRPr="00BF6E05" w:rsidRDefault="00E277D4" w:rsidP="00E277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6E05">
        <w:rPr>
          <w:rFonts w:ascii="Times New Roman" w:hAnsi="Times New Roman" w:cs="Times New Roman"/>
          <w:sz w:val="20"/>
          <w:szCs w:val="20"/>
        </w:rPr>
        <w:t>Fonte: Dallabrida (2016, p. 33)</w:t>
      </w:r>
    </w:p>
    <w:p w:rsidR="00E277D4" w:rsidRDefault="00E277D4" w:rsidP="00E277D4">
      <w:pPr>
        <w:spacing w:after="0" w:line="360" w:lineRule="auto"/>
      </w:pPr>
    </w:p>
    <w:p w:rsidR="00111617" w:rsidRPr="00BF6E05" w:rsidRDefault="00111617" w:rsidP="001116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6E05">
        <w:rPr>
          <w:rFonts w:ascii="Times New Roman" w:hAnsi="Times New Roman" w:cs="Times New Roman"/>
          <w:sz w:val="20"/>
          <w:szCs w:val="20"/>
        </w:rPr>
        <w:t>Quadro 1 - Definições sobre Marcas de Território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7373"/>
        <w:gridCol w:w="1239"/>
      </w:tblGrid>
      <w:tr w:rsidR="00111617" w:rsidRPr="00BF6E05" w:rsidTr="00D506D9">
        <w:tc>
          <w:tcPr>
            <w:tcW w:w="7620" w:type="dxa"/>
          </w:tcPr>
          <w:p w:rsidR="00111617" w:rsidRPr="00BF6E05" w:rsidRDefault="00111617" w:rsidP="00D50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E05">
              <w:rPr>
                <w:rFonts w:ascii="Times New Roman" w:hAnsi="Times New Roman" w:cs="Times New Roman"/>
                <w:b/>
                <w:sz w:val="20"/>
                <w:szCs w:val="20"/>
              </w:rPr>
              <w:t>Definição</w:t>
            </w:r>
          </w:p>
        </w:tc>
        <w:tc>
          <w:tcPr>
            <w:tcW w:w="0" w:type="auto"/>
          </w:tcPr>
          <w:p w:rsidR="00111617" w:rsidRPr="00BF6E05" w:rsidRDefault="00111617" w:rsidP="00D50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E05">
              <w:rPr>
                <w:rFonts w:ascii="Times New Roman" w:hAnsi="Times New Roman" w:cs="Times New Roman"/>
                <w:b/>
                <w:sz w:val="20"/>
                <w:szCs w:val="20"/>
              </w:rPr>
              <w:t>Autor/Obra</w:t>
            </w:r>
          </w:p>
        </w:tc>
      </w:tr>
      <w:tr w:rsidR="00111617" w:rsidRPr="00BF6E05" w:rsidTr="00D506D9">
        <w:tc>
          <w:tcPr>
            <w:tcW w:w="7620" w:type="dxa"/>
          </w:tcPr>
          <w:p w:rsidR="00111617" w:rsidRPr="00BF6E05" w:rsidRDefault="00111617" w:rsidP="00D506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E05">
              <w:rPr>
                <w:rFonts w:ascii="Times New Roman" w:hAnsi="Times New Roman" w:cs="Times New Roman"/>
                <w:sz w:val="20"/>
                <w:szCs w:val="20"/>
              </w:rPr>
              <w:t xml:space="preserve">Como elemento que engloba atributos diferentes de um espaço para obter um determinado posicionamento, como necessidade de singularizar territórios, a marca de território representa um exercício de resistência identitária, ante um modelo </w:t>
            </w:r>
            <w:proofErr w:type="spellStart"/>
            <w:r w:rsidRPr="00BF6E05">
              <w:rPr>
                <w:rFonts w:ascii="Times New Roman" w:hAnsi="Times New Roman" w:cs="Times New Roman"/>
                <w:sz w:val="20"/>
                <w:szCs w:val="20"/>
              </w:rPr>
              <w:t>homogeneizador</w:t>
            </w:r>
            <w:proofErr w:type="spellEnd"/>
            <w:r w:rsidRPr="00BF6E05">
              <w:rPr>
                <w:rFonts w:ascii="Times New Roman" w:hAnsi="Times New Roman" w:cs="Times New Roman"/>
                <w:sz w:val="20"/>
                <w:szCs w:val="20"/>
              </w:rPr>
              <w:t xml:space="preserve"> inerente a uma sociedade que se autodenomina global e pós-moderna.</w:t>
            </w:r>
          </w:p>
        </w:tc>
        <w:tc>
          <w:tcPr>
            <w:tcW w:w="0" w:type="auto"/>
          </w:tcPr>
          <w:p w:rsidR="00111617" w:rsidRPr="00BF6E05" w:rsidRDefault="00111617" w:rsidP="00D5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E05">
              <w:rPr>
                <w:rFonts w:ascii="Times New Roman" w:hAnsi="Times New Roman" w:cs="Times New Roman"/>
                <w:sz w:val="20"/>
                <w:szCs w:val="20"/>
              </w:rPr>
              <w:t>López-Lita</w:t>
            </w:r>
            <w:proofErr w:type="spellEnd"/>
            <w:r w:rsidRPr="00BF6E05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 w:rsidRPr="00BF6E05">
              <w:rPr>
                <w:rFonts w:ascii="Times New Roman" w:hAnsi="Times New Roman" w:cs="Times New Roman"/>
                <w:bCs/>
                <w:sz w:val="20"/>
                <w:szCs w:val="20"/>
                <w:lang w:val="es-AR"/>
              </w:rPr>
              <w:t>Benlloch</w:t>
            </w:r>
            <w:proofErr w:type="spellEnd"/>
            <w:r w:rsidRPr="00BF6E05">
              <w:rPr>
                <w:rFonts w:ascii="Times New Roman" w:hAnsi="Times New Roman" w:cs="Times New Roman"/>
                <w:sz w:val="20"/>
                <w:szCs w:val="20"/>
              </w:rPr>
              <w:t xml:space="preserve"> (2005)</w:t>
            </w:r>
          </w:p>
        </w:tc>
      </w:tr>
      <w:tr w:rsidR="00111617" w:rsidRPr="00BF6E05" w:rsidTr="00D506D9">
        <w:trPr>
          <w:trHeight w:val="496"/>
        </w:trPr>
        <w:tc>
          <w:tcPr>
            <w:tcW w:w="7620" w:type="dxa"/>
          </w:tcPr>
          <w:p w:rsidR="00111617" w:rsidRPr="00BF6E05" w:rsidRDefault="00111617" w:rsidP="00D506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E05">
              <w:rPr>
                <w:rFonts w:ascii="Times New Roman" w:hAnsi="Times New Roman" w:cs="Times New Roman"/>
                <w:sz w:val="20"/>
                <w:szCs w:val="20"/>
              </w:rPr>
              <w:t>A marca de território deve ocupar-se da criação e comunicação de uma identidade de lugar que possibilite incrementar seu atrativo.</w:t>
            </w:r>
          </w:p>
        </w:tc>
        <w:tc>
          <w:tcPr>
            <w:tcW w:w="0" w:type="auto"/>
          </w:tcPr>
          <w:p w:rsidR="00111617" w:rsidRPr="00BF6E05" w:rsidRDefault="00111617" w:rsidP="00D5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E05">
              <w:rPr>
                <w:rFonts w:ascii="Times New Roman" w:hAnsi="Times New Roman" w:cs="Times New Roman"/>
                <w:sz w:val="20"/>
                <w:szCs w:val="20"/>
              </w:rPr>
              <w:t>Rainisto</w:t>
            </w:r>
            <w:proofErr w:type="spellEnd"/>
            <w:r w:rsidRPr="00BF6E05">
              <w:rPr>
                <w:rFonts w:ascii="Times New Roman" w:hAnsi="Times New Roman" w:cs="Times New Roman"/>
                <w:sz w:val="20"/>
                <w:szCs w:val="20"/>
              </w:rPr>
              <w:t xml:space="preserve"> (2004)</w:t>
            </w:r>
          </w:p>
        </w:tc>
      </w:tr>
      <w:tr w:rsidR="00111617" w:rsidRPr="00BF6E05" w:rsidTr="00D506D9">
        <w:tc>
          <w:tcPr>
            <w:tcW w:w="7620" w:type="dxa"/>
          </w:tcPr>
          <w:p w:rsidR="00111617" w:rsidRPr="00BF6E05" w:rsidRDefault="00111617" w:rsidP="00D506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E05">
              <w:rPr>
                <w:rFonts w:ascii="Times New Roman" w:hAnsi="Times New Roman" w:cs="Times New Roman"/>
                <w:sz w:val="20"/>
                <w:szCs w:val="20"/>
              </w:rPr>
              <w:t>A marca de território é um grande identificador de valores intangíveis.</w:t>
            </w:r>
          </w:p>
        </w:tc>
        <w:tc>
          <w:tcPr>
            <w:tcW w:w="0" w:type="auto"/>
          </w:tcPr>
          <w:p w:rsidR="00111617" w:rsidRPr="00BF6E05" w:rsidRDefault="00111617" w:rsidP="00D5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E05">
              <w:rPr>
                <w:rFonts w:ascii="Times New Roman" w:hAnsi="Times New Roman" w:cs="Times New Roman"/>
                <w:sz w:val="20"/>
                <w:szCs w:val="20"/>
              </w:rPr>
              <w:t>Morgan (2004)</w:t>
            </w:r>
          </w:p>
        </w:tc>
      </w:tr>
      <w:tr w:rsidR="00111617" w:rsidRPr="00BF6E05" w:rsidTr="00D506D9">
        <w:tc>
          <w:tcPr>
            <w:tcW w:w="7620" w:type="dxa"/>
          </w:tcPr>
          <w:p w:rsidR="00111617" w:rsidRPr="00BF6E05" w:rsidRDefault="00111617" w:rsidP="00D506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E05">
              <w:rPr>
                <w:rFonts w:ascii="Times New Roman" w:hAnsi="Times New Roman" w:cs="Times New Roman"/>
                <w:sz w:val="20"/>
                <w:szCs w:val="20"/>
              </w:rPr>
              <w:t>A marca de território é a representação da identidade de um território, mediante a construção de uma imagem favorável, internamente e externamente.</w:t>
            </w:r>
          </w:p>
        </w:tc>
        <w:tc>
          <w:tcPr>
            <w:tcW w:w="0" w:type="auto"/>
          </w:tcPr>
          <w:p w:rsidR="00111617" w:rsidRPr="00BF6E05" w:rsidRDefault="00111617" w:rsidP="00D5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E05">
              <w:rPr>
                <w:rFonts w:ascii="Times New Roman" w:hAnsi="Times New Roman" w:cs="Times New Roman"/>
                <w:sz w:val="20"/>
                <w:szCs w:val="20"/>
              </w:rPr>
              <w:t>Govers</w:t>
            </w:r>
            <w:proofErr w:type="spellEnd"/>
            <w:r w:rsidRPr="00BF6E05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proofErr w:type="gramStart"/>
            <w:r w:rsidRPr="00BF6E05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proofErr w:type="spellEnd"/>
            <w:proofErr w:type="gramEnd"/>
            <w:r w:rsidRPr="00BF6E05">
              <w:rPr>
                <w:rFonts w:ascii="Times New Roman" w:hAnsi="Times New Roman" w:cs="Times New Roman"/>
                <w:sz w:val="20"/>
                <w:szCs w:val="20"/>
              </w:rPr>
              <w:t xml:space="preserve"> (2009)</w:t>
            </w:r>
          </w:p>
        </w:tc>
      </w:tr>
      <w:tr w:rsidR="00111617" w:rsidRPr="00BF6E05" w:rsidTr="00D506D9">
        <w:tc>
          <w:tcPr>
            <w:tcW w:w="7620" w:type="dxa"/>
          </w:tcPr>
          <w:p w:rsidR="00111617" w:rsidRPr="00BF6E05" w:rsidRDefault="00111617" w:rsidP="00D506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E05">
              <w:rPr>
                <w:rFonts w:ascii="Times New Roman" w:hAnsi="Times New Roman" w:cs="Times New Roman"/>
                <w:i/>
                <w:sz w:val="20"/>
                <w:szCs w:val="20"/>
              </w:rPr>
              <w:t>Branding</w:t>
            </w:r>
            <w:r w:rsidRPr="00BF6E05">
              <w:rPr>
                <w:rFonts w:ascii="Times New Roman" w:hAnsi="Times New Roman" w:cs="Times New Roman"/>
                <w:sz w:val="20"/>
                <w:szCs w:val="20"/>
              </w:rPr>
              <w:t xml:space="preserve"> é concebido como um processo de representação, planejamento e comunicação de um nome e da identidade de um lugar. O objetivo consiste não apenas em obter rendimento econômico, mas também alcançar uma boa reputação para o território. </w:t>
            </w:r>
          </w:p>
        </w:tc>
        <w:tc>
          <w:tcPr>
            <w:tcW w:w="0" w:type="auto"/>
          </w:tcPr>
          <w:p w:rsidR="00111617" w:rsidRPr="00BF6E05" w:rsidRDefault="00111617" w:rsidP="00D5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E05">
              <w:rPr>
                <w:rFonts w:ascii="Times New Roman" w:hAnsi="Times New Roman" w:cs="Times New Roman"/>
                <w:sz w:val="20"/>
                <w:szCs w:val="20"/>
              </w:rPr>
              <w:t>Anholt</w:t>
            </w:r>
            <w:proofErr w:type="spellEnd"/>
            <w:r w:rsidRPr="00BF6E05">
              <w:rPr>
                <w:rFonts w:ascii="Times New Roman" w:hAnsi="Times New Roman" w:cs="Times New Roman"/>
                <w:sz w:val="20"/>
                <w:szCs w:val="20"/>
              </w:rPr>
              <w:t xml:space="preserve"> (2007; 2010)</w:t>
            </w:r>
          </w:p>
        </w:tc>
      </w:tr>
      <w:tr w:rsidR="00111617" w:rsidRPr="00BF6E05" w:rsidTr="00D506D9">
        <w:tc>
          <w:tcPr>
            <w:tcW w:w="7620" w:type="dxa"/>
          </w:tcPr>
          <w:p w:rsidR="00111617" w:rsidRPr="00BF6E05" w:rsidRDefault="00111617" w:rsidP="00D506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E05">
              <w:rPr>
                <w:rFonts w:ascii="Times New Roman" w:hAnsi="Times New Roman" w:cs="Times New Roman"/>
                <w:i/>
                <w:sz w:val="20"/>
                <w:szCs w:val="20"/>
              </w:rPr>
              <w:t>Branding</w:t>
            </w:r>
            <w:r w:rsidRPr="00BF6E05">
              <w:rPr>
                <w:rFonts w:ascii="Times New Roman" w:hAnsi="Times New Roman" w:cs="Times New Roman"/>
                <w:sz w:val="20"/>
                <w:szCs w:val="20"/>
              </w:rPr>
              <w:t xml:space="preserve"> consiste em gerar identidade de lugar para produzir mudanças na imagem e reputação, com vistas a interferir na modificação do comportamento de clientes potenciais. Trata-se de uma nova forma de governança do território.</w:t>
            </w:r>
          </w:p>
        </w:tc>
        <w:tc>
          <w:tcPr>
            <w:tcW w:w="0" w:type="auto"/>
          </w:tcPr>
          <w:p w:rsidR="00111617" w:rsidRPr="00BF6E05" w:rsidRDefault="00111617" w:rsidP="00D5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E05">
              <w:rPr>
                <w:rFonts w:ascii="Times New Roman" w:hAnsi="Times New Roman" w:cs="Times New Roman"/>
                <w:sz w:val="20"/>
                <w:szCs w:val="20"/>
              </w:rPr>
              <w:t>Kavaratzis</w:t>
            </w:r>
            <w:proofErr w:type="spellEnd"/>
            <w:r w:rsidRPr="00BF6E05">
              <w:rPr>
                <w:rFonts w:ascii="Times New Roman" w:hAnsi="Times New Roman" w:cs="Times New Roman"/>
                <w:sz w:val="20"/>
                <w:szCs w:val="20"/>
              </w:rPr>
              <w:t xml:space="preserve"> (2005)</w:t>
            </w:r>
          </w:p>
        </w:tc>
      </w:tr>
      <w:tr w:rsidR="00111617" w:rsidRPr="00BF6E05" w:rsidTr="00D506D9">
        <w:tc>
          <w:tcPr>
            <w:tcW w:w="7620" w:type="dxa"/>
          </w:tcPr>
          <w:p w:rsidR="00111617" w:rsidRPr="00BF6E05" w:rsidRDefault="00111617" w:rsidP="00D506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E05">
              <w:rPr>
                <w:rFonts w:ascii="Times New Roman" w:hAnsi="Times New Roman" w:cs="Times New Roman"/>
                <w:i/>
                <w:sz w:val="20"/>
                <w:szCs w:val="20"/>
              </w:rPr>
              <w:t>Branding</w:t>
            </w:r>
            <w:r w:rsidRPr="00BF6E05">
              <w:rPr>
                <w:rFonts w:ascii="Times New Roman" w:hAnsi="Times New Roman" w:cs="Times New Roman"/>
                <w:sz w:val="20"/>
                <w:szCs w:val="20"/>
              </w:rPr>
              <w:t xml:space="preserve"> não é uma ferramenta de gestão, senão que uma técnica de projeção de uma imagem positiva dirigida a clientes potenciais. Trata-se de construir valor de marca, mediante a comunicação efetiva dos atributos do território.</w:t>
            </w:r>
          </w:p>
        </w:tc>
        <w:tc>
          <w:tcPr>
            <w:tcW w:w="0" w:type="auto"/>
          </w:tcPr>
          <w:p w:rsidR="00111617" w:rsidRPr="00BF6E05" w:rsidRDefault="00111617" w:rsidP="00D5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E05">
              <w:rPr>
                <w:rFonts w:ascii="Times New Roman" w:hAnsi="Times New Roman" w:cs="Times New Roman"/>
                <w:sz w:val="20"/>
                <w:szCs w:val="20"/>
              </w:rPr>
              <w:t>Fernández-Cavia</w:t>
            </w:r>
            <w:proofErr w:type="spellEnd"/>
            <w:r w:rsidRPr="00BF6E05">
              <w:rPr>
                <w:rFonts w:ascii="Times New Roman" w:hAnsi="Times New Roman" w:cs="Times New Roman"/>
                <w:sz w:val="20"/>
                <w:szCs w:val="20"/>
              </w:rPr>
              <w:t xml:space="preserve"> (2009)</w:t>
            </w:r>
          </w:p>
        </w:tc>
      </w:tr>
      <w:tr w:rsidR="00111617" w:rsidRPr="00BF6E05" w:rsidTr="00D506D9">
        <w:tc>
          <w:tcPr>
            <w:tcW w:w="7620" w:type="dxa"/>
          </w:tcPr>
          <w:p w:rsidR="00111617" w:rsidRPr="00BF6E05" w:rsidRDefault="00111617" w:rsidP="00D506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E05">
              <w:rPr>
                <w:rFonts w:ascii="Times New Roman" w:hAnsi="Times New Roman" w:cs="Times New Roman"/>
                <w:sz w:val="20"/>
                <w:szCs w:val="20"/>
              </w:rPr>
              <w:t>Apesar de integrar-se em um contexto global e pós-moderno, a marca de território é, em si, um exercício de reafirmação de identidades.</w:t>
            </w:r>
          </w:p>
        </w:tc>
        <w:tc>
          <w:tcPr>
            <w:tcW w:w="0" w:type="auto"/>
          </w:tcPr>
          <w:p w:rsidR="00111617" w:rsidRPr="00BF6E05" w:rsidRDefault="00111617" w:rsidP="00D5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E05">
              <w:rPr>
                <w:rFonts w:ascii="Times New Roman" w:hAnsi="Times New Roman" w:cs="Times New Roman"/>
                <w:sz w:val="20"/>
                <w:szCs w:val="20"/>
              </w:rPr>
              <w:t>Lash</w:t>
            </w:r>
            <w:proofErr w:type="spellEnd"/>
            <w:r w:rsidRPr="00BF6E05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BF6E05">
              <w:rPr>
                <w:rFonts w:ascii="Times New Roman" w:hAnsi="Times New Roman" w:cs="Times New Roman"/>
                <w:sz w:val="20"/>
                <w:szCs w:val="20"/>
              </w:rPr>
              <w:t>Urry</w:t>
            </w:r>
            <w:proofErr w:type="spellEnd"/>
            <w:r w:rsidRPr="00BF6E05">
              <w:rPr>
                <w:rFonts w:ascii="Times New Roman" w:hAnsi="Times New Roman" w:cs="Times New Roman"/>
                <w:sz w:val="20"/>
                <w:szCs w:val="20"/>
              </w:rPr>
              <w:t xml:space="preserve"> (1994)</w:t>
            </w:r>
          </w:p>
        </w:tc>
      </w:tr>
    </w:tbl>
    <w:p w:rsidR="00111617" w:rsidRPr="00BF6E05" w:rsidRDefault="00111617" w:rsidP="001116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6E05">
        <w:rPr>
          <w:rFonts w:ascii="Times New Roman" w:hAnsi="Times New Roman" w:cs="Times New Roman"/>
          <w:sz w:val="20"/>
          <w:szCs w:val="20"/>
        </w:rPr>
        <w:t xml:space="preserve">Fonte: Elaboração dos autores, a partir de </w:t>
      </w:r>
      <w:proofErr w:type="spellStart"/>
      <w:r w:rsidRPr="00BF6E05">
        <w:rPr>
          <w:rFonts w:ascii="Times New Roman" w:hAnsi="Times New Roman" w:cs="Times New Roman"/>
          <w:sz w:val="20"/>
          <w:szCs w:val="20"/>
        </w:rPr>
        <w:t>San</w:t>
      </w:r>
      <w:proofErr w:type="spellEnd"/>
      <w:r w:rsidRPr="00BF6E05">
        <w:rPr>
          <w:rFonts w:ascii="Times New Roman" w:hAnsi="Times New Roman" w:cs="Times New Roman"/>
          <w:sz w:val="20"/>
          <w:szCs w:val="20"/>
        </w:rPr>
        <w:t xml:space="preserve"> Eugenio (2012</w:t>
      </w:r>
      <w:proofErr w:type="gramStart"/>
      <w:r w:rsidRPr="00BF6E05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BF6E05">
        <w:rPr>
          <w:rStyle w:val="Refdenotaderodap"/>
          <w:rFonts w:ascii="Times New Roman" w:hAnsi="Times New Roman" w:cs="Times New Roman"/>
          <w:sz w:val="20"/>
          <w:szCs w:val="20"/>
        </w:rPr>
        <w:footnoteReference w:id="1"/>
      </w:r>
    </w:p>
    <w:p w:rsidR="00111617" w:rsidRDefault="00111617" w:rsidP="00E277D4">
      <w:pPr>
        <w:spacing w:after="0" w:line="360" w:lineRule="auto"/>
      </w:pPr>
    </w:p>
    <w:p w:rsidR="00480120" w:rsidRDefault="00480120" w:rsidP="00E277D4">
      <w:pPr>
        <w:spacing w:after="0" w:line="360" w:lineRule="auto"/>
      </w:pPr>
    </w:p>
    <w:p w:rsidR="00480120" w:rsidRDefault="00480120" w:rsidP="00E277D4">
      <w:pPr>
        <w:spacing w:after="0" w:line="360" w:lineRule="auto"/>
      </w:pPr>
    </w:p>
    <w:p w:rsidR="00480120" w:rsidRDefault="00480120" w:rsidP="00E277D4">
      <w:pPr>
        <w:spacing w:after="0" w:line="360" w:lineRule="auto"/>
      </w:pPr>
    </w:p>
    <w:p w:rsidR="00480120" w:rsidRPr="00BF6E05" w:rsidRDefault="00480120" w:rsidP="004801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6E05">
        <w:rPr>
          <w:rFonts w:ascii="Times New Roman" w:hAnsi="Times New Roman" w:cs="Times New Roman"/>
          <w:sz w:val="20"/>
          <w:szCs w:val="20"/>
        </w:rPr>
        <w:lastRenderedPageBreak/>
        <w:t xml:space="preserve">Tabela 01 – Questão </w:t>
      </w:r>
      <w:proofErr w:type="gramStart"/>
      <w:r w:rsidRPr="00BF6E05">
        <w:rPr>
          <w:rFonts w:ascii="Times New Roman" w:hAnsi="Times New Roman" w:cs="Times New Roman"/>
          <w:sz w:val="20"/>
          <w:szCs w:val="20"/>
        </w:rPr>
        <w:t>4</w:t>
      </w:r>
      <w:proofErr w:type="gramEnd"/>
    </w:p>
    <w:tbl>
      <w:tblPr>
        <w:tblW w:w="5020" w:type="dxa"/>
        <w:tblCellMar>
          <w:left w:w="70" w:type="dxa"/>
          <w:right w:w="70" w:type="dxa"/>
        </w:tblCellMar>
        <w:tblLook w:val="04A0"/>
      </w:tblPr>
      <w:tblGrid>
        <w:gridCol w:w="4860"/>
        <w:gridCol w:w="841"/>
      </w:tblGrid>
      <w:tr w:rsidR="00480120" w:rsidRPr="00BF6E05" w:rsidTr="00D506D9">
        <w:trPr>
          <w:trHeight w:val="300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0120" w:rsidRPr="00BF6E05" w:rsidRDefault="00480120" w:rsidP="00D50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F6E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OPÇÕES QUE MELHOR IDENTIFICAM A REGIÃO</w:t>
            </w:r>
          </w:p>
        </w:tc>
      </w:tr>
      <w:tr w:rsidR="00480120" w:rsidRPr="00BF6E05" w:rsidTr="00D506D9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0120" w:rsidRPr="00BF6E05" w:rsidRDefault="00480120" w:rsidP="00D506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F6E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ALTERNATIVAS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0120" w:rsidRPr="00BF6E05" w:rsidRDefault="00480120" w:rsidP="00D506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F6E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VOTOS</w:t>
            </w:r>
          </w:p>
        </w:tc>
      </w:tr>
      <w:tr w:rsidR="00480120" w:rsidRPr="00BF6E05" w:rsidTr="00D506D9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20" w:rsidRPr="00BF6E05" w:rsidRDefault="00480120" w:rsidP="00D506D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6E0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a) Terra da erva-mate ou chimarrão;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20" w:rsidRPr="00BF6E05" w:rsidRDefault="00480120" w:rsidP="00D50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6E0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77</w:t>
            </w:r>
          </w:p>
        </w:tc>
      </w:tr>
      <w:tr w:rsidR="00480120" w:rsidRPr="00BF6E05" w:rsidTr="00D506D9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20" w:rsidRPr="00BF6E05" w:rsidRDefault="00480120" w:rsidP="00D506D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6E0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b) Clima frio/temperado;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20" w:rsidRPr="00BF6E05" w:rsidRDefault="00480120" w:rsidP="00D50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6E0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34</w:t>
            </w:r>
          </w:p>
        </w:tc>
      </w:tr>
      <w:tr w:rsidR="00480120" w:rsidRPr="00BF6E05" w:rsidTr="00D506D9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20" w:rsidRPr="00BF6E05" w:rsidRDefault="00480120" w:rsidP="00D506D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6E0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c) População hospitaleira;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20" w:rsidRPr="00BF6E05" w:rsidRDefault="00480120" w:rsidP="00D50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6E0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</w:t>
            </w:r>
          </w:p>
        </w:tc>
      </w:tr>
      <w:tr w:rsidR="00480120" w:rsidRPr="00BF6E05" w:rsidTr="00D506D9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20" w:rsidRPr="00BF6E05" w:rsidRDefault="00480120" w:rsidP="00D506D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6E0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d) História rica;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20" w:rsidRPr="00BF6E05" w:rsidRDefault="00480120" w:rsidP="00D50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6E0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</w:tr>
      <w:tr w:rsidR="00480120" w:rsidRPr="00BF6E05" w:rsidTr="00D506D9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20" w:rsidRPr="00BF6E05" w:rsidRDefault="00480120" w:rsidP="00D506D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6E0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e) Natureza exuberante;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20" w:rsidRPr="00BF6E05" w:rsidRDefault="00480120" w:rsidP="00D50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BF6E0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  <w:proofErr w:type="gramEnd"/>
          </w:p>
        </w:tc>
      </w:tr>
      <w:tr w:rsidR="00480120" w:rsidRPr="00BF6E05" w:rsidTr="00D506D9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20" w:rsidRPr="00BF6E05" w:rsidRDefault="00480120" w:rsidP="00D506D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6E0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f) Cultura forte;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20" w:rsidRPr="00BF6E05" w:rsidRDefault="00480120" w:rsidP="00D50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BF6E0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  <w:proofErr w:type="gramEnd"/>
          </w:p>
        </w:tc>
      </w:tr>
      <w:tr w:rsidR="00480120" w:rsidRPr="00BF6E05" w:rsidTr="00D506D9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20" w:rsidRPr="00BF6E05" w:rsidRDefault="00480120" w:rsidP="00D506D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6E0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g) Produtos/serviços reconhecidos;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20" w:rsidRPr="00BF6E05" w:rsidRDefault="00480120" w:rsidP="00D50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BF6E0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480120" w:rsidRPr="00BF6E05" w:rsidTr="00D506D9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20" w:rsidRPr="00BF6E05" w:rsidRDefault="00480120" w:rsidP="00D506D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6E0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h) Outro;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20" w:rsidRPr="00BF6E05" w:rsidRDefault="00480120" w:rsidP="00D50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BF6E0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480120" w:rsidRPr="00BF6E05" w:rsidTr="00D506D9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20" w:rsidRPr="00BF6E05" w:rsidRDefault="00480120" w:rsidP="00D506D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6E0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i) Patrimônios materiais.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20" w:rsidRPr="00BF6E05" w:rsidRDefault="00480120" w:rsidP="00D50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BF6E0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480120" w:rsidRPr="00BF6E05" w:rsidTr="00D506D9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0120" w:rsidRPr="00BF6E05" w:rsidRDefault="00480120" w:rsidP="00D506D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6E0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TOTAL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80120" w:rsidRPr="00BF6E05" w:rsidRDefault="00480120" w:rsidP="00D50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F6E0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140</w:t>
            </w:r>
          </w:p>
        </w:tc>
      </w:tr>
    </w:tbl>
    <w:p w:rsidR="00480120" w:rsidRPr="00BF6E05" w:rsidRDefault="00480120" w:rsidP="004801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6E05">
        <w:rPr>
          <w:rFonts w:ascii="Times New Roman" w:hAnsi="Times New Roman" w:cs="Times New Roman"/>
          <w:sz w:val="20"/>
          <w:szCs w:val="20"/>
        </w:rPr>
        <w:t>Fonte: Dados da pesquisa (2015)</w:t>
      </w:r>
    </w:p>
    <w:p w:rsidR="00480120" w:rsidRDefault="00480120" w:rsidP="00E277D4">
      <w:pPr>
        <w:spacing w:after="0" w:line="360" w:lineRule="auto"/>
      </w:pPr>
    </w:p>
    <w:p w:rsidR="002C6550" w:rsidRDefault="002C6550" w:rsidP="002C6550"/>
    <w:p w:rsidR="002C6550" w:rsidRDefault="002C6550" w:rsidP="002C6550">
      <w:r>
        <w:rPr>
          <w:noProof/>
          <w:lang w:eastAsia="pt-BR"/>
        </w:rPr>
        <w:drawing>
          <wp:inline distT="0" distB="0" distL="0" distR="0">
            <wp:extent cx="5400040" cy="3275579"/>
            <wp:effectExtent l="19050" t="0" r="0" b="0"/>
            <wp:docPr id="5" name="Imagem 1" descr="C:\Users\valdi\Downloads\Quadro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di\Downloads\Quadro 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75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550" w:rsidRDefault="002C6550" w:rsidP="002C6550"/>
    <w:p w:rsidR="002C6550" w:rsidRDefault="002C6550" w:rsidP="002C6550">
      <w:r>
        <w:rPr>
          <w:noProof/>
          <w:lang w:eastAsia="pt-BR"/>
        </w:rPr>
        <w:lastRenderedPageBreak/>
        <w:drawing>
          <wp:inline distT="0" distB="0" distL="0" distR="0">
            <wp:extent cx="5113020" cy="3730625"/>
            <wp:effectExtent l="19050" t="0" r="0" b="0"/>
            <wp:docPr id="6" name="Imagem 2" descr="C:\Users\valdi\Downloads\Tabela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di\Downloads\Tabela 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373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550" w:rsidRDefault="002C6550" w:rsidP="002C6550"/>
    <w:p w:rsidR="002C6550" w:rsidRDefault="002C6550" w:rsidP="002C6550">
      <w:r>
        <w:rPr>
          <w:noProof/>
          <w:lang w:eastAsia="pt-BR"/>
        </w:rPr>
        <w:drawing>
          <wp:inline distT="0" distB="0" distL="0" distR="0">
            <wp:extent cx="5400040" cy="2768019"/>
            <wp:effectExtent l="19050" t="0" r="0" b="0"/>
            <wp:docPr id="7" name="Imagem 3" descr="C:\Users\valdi\Downloads\Figura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di\Downloads\Figura 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68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550" w:rsidRDefault="002C6550" w:rsidP="00E277D4">
      <w:pPr>
        <w:spacing w:after="0" w:line="360" w:lineRule="auto"/>
      </w:pPr>
    </w:p>
    <w:sectPr w:rsidR="002C6550" w:rsidSect="002766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ADC" w:rsidRDefault="00194ADC" w:rsidP="00111617">
      <w:pPr>
        <w:spacing w:after="0" w:line="240" w:lineRule="auto"/>
      </w:pPr>
      <w:r>
        <w:separator/>
      </w:r>
    </w:p>
  </w:endnote>
  <w:endnote w:type="continuationSeparator" w:id="0">
    <w:p w:rsidR="00194ADC" w:rsidRDefault="00194ADC" w:rsidP="0011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ADC" w:rsidRDefault="00194ADC" w:rsidP="00111617">
      <w:pPr>
        <w:spacing w:after="0" w:line="240" w:lineRule="auto"/>
      </w:pPr>
      <w:r>
        <w:separator/>
      </w:r>
    </w:p>
  </w:footnote>
  <w:footnote w:type="continuationSeparator" w:id="0">
    <w:p w:rsidR="00194ADC" w:rsidRDefault="00194ADC" w:rsidP="00111617">
      <w:pPr>
        <w:spacing w:after="0" w:line="240" w:lineRule="auto"/>
      </w:pPr>
      <w:r>
        <w:continuationSeparator/>
      </w:r>
    </w:p>
  </w:footnote>
  <w:footnote w:id="1">
    <w:p w:rsidR="00111617" w:rsidRPr="00BF6E05" w:rsidRDefault="00111617" w:rsidP="00111617">
      <w:pPr>
        <w:pStyle w:val="Textodenotaderodap"/>
        <w:jc w:val="both"/>
        <w:rPr>
          <w:rFonts w:ascii="Times New Roman" w:hAnsi="Times New Roman"/>
        </w:rPr>
      </w:pPr>
      <w:r w:rsidRPr="00BF6E05">
        <w:rPr>
          <w:rStyle w:val="Refdenotaderodap"/>
          <w:rFonts w:ascii="Times New Roman" w:hAnsi="Times New Roman"/>
        </w:rPr>
        <w:footnoteRef/>
      </w:r>
      <w:r w:rsidRPr="00BF6E05">
        <w:rPr>
          <w:rFonts w:ascii="Times New Roman" w:hAnsi="Times New Roman"/>
        </w:rPr>
        <w:t xml:space="preserve"> Para acessar as obras referenciadas, consultar </w:t>
      </w:r>
      <w:proofErr w:type="spellStart"/>
      <w:r w:rsidRPr="00BF6E05">
        <w:rPr>
          <w:rFonts w:ascii="Times New Roman" w:hAnsi="Times New Roman"/>
        </w:rPr>
        <w:t>San</w:t>
      </w:r>
      <w:proofErr w:type="spellEnd"/>
      <w:r w:rsidRPr="00BF6E05">
        <w:rPr>
          <w:rFonts w:ascii="Times New Roman" w:hAnsi="Times New Roman"/>
        </w:rPr>
        <w:t xml:space="preserve"> Eugenio (2012), em especial, nas ps. 76 a 79.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7D4"/>
    <w:rsid w:val="00111617"/>
    <w:rsid w:val="00194ADC"/>
    <w:rsid w:val="002766F5"/>
    <w:rsid w:val="002C6550"/>
    <w:rsid w:val="00480120"/>
    <w:rsid w:val="00E277D4"/>
    <w:rsid w:val="00EC7114"/>
    <w:rsid w:val="00FD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7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77D4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111617"/>
    <w:pPr>
      <w:spacing w:after="0" w:line="240" w:lineRule="auto"/>
    </w:pPr>
    <w:rPr>
      <w:rFonts w:ascii="Calibri" w:eastAsia="PMingLiU" w:hAnsi="Calibri" w:cs="Times New Roman"/>
      <w:sz w:val="20"/>
      <w:szCs w:val="20"/>
      <w:lang w:eastAsia="zh-TW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11617"/>
    <w:rPr>
      <w:rFonts w:ascii="Calibri" w:eastAsia="PMingLiU" w:hAnsi="Calibri" w:cs="Times New Roman"/>
      <w:sz w:val="20"/>
      <w:szCs w:val="20"/>
      <w:lang w:eastAsia="zh-TW"/>
    </w:rPr>
  </w:style>
  <w:style w:type="character" w:styleId="Refdenotaderodap">
    <w:name w:val="footnote reference"/>
    <w:aliases w:val="normal,Ref,de nota al pie"/>
    <w:basedOn w:val="Fontepargpadro"/>
    <w:uiPriority w:val="99"/>
    <w:unhideWhenUsed/>
    <w:rsid w:val="00111617"/>
    <w:rPr>
      <w:vertAlign w:val="superscript"/>
    </w:rPr>
  </w:style>
  <w:style w:type="table" w:styleId="Tabelacomgrade">
    <w:name w:val="Table Grid"/>
    <w:basedOn w:val="Tabelanormal"/>
    <w:uiPriority w:val="59"/>
    <w:rsid w:val="00111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357</Words>
  <Characters>1928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valdirdallabrida@gmail.com</dc:creator>
  <cp:lastModifiedBy>valdirdallabrida@gmail.com</cp:lastModifiedBy>
  <cp:revision>4</cp:revision>
  <dcterms:created xsi:type="dcterms:W3CDTF">2016-04-27T19:38:00Z</dcterms:created>
  <dcterms:modified xsi:type="dcterms:W3CDTF">2016-04-28T13:11:00Z</dcterms:modified>
</cp:coreProperties>
</file>